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D41E5" w14:textId="77777777" w:rsidR="00B46478" w:rsidRPr="00B46478" w:rsidRDefault="00F92268" w:rsidP="00850792">
      <w:pPr>
        <w:pStyle w:val="BodyText"/>
      </w:pPr>
      <w:r w:rsidRPr="00B46478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1854"/>
      </w:tblGrid>
      <w:tr w:rsidR="00B46478" w:rsidRPr="00BD1CC1" w14:paraId="0B2FEF06" w14:textId="77777777" w:rsidTr="00B46478">
        <w:trPr>
          <w:trHeight w:val="144"/>
          <w:jc w:val="right"/>
        </w:trPr>
        <w:tc>
          <w:tcPr>
            <w:tcW w:w="1854" w:type="dxa"/>
            <w:shd w:val="clear" w:color="auto" w:fill="E7E6E6" w:themeFill="background2"/>
            <w:hideMark/>
          </w:tcPr>
          <w:p w14:paraId="7105EBB2" w14:textId="77777777" w:rsidR="00B46478" w:rsidRPr="00EC47B6" w:rsidRDefault="00B46478" w:rsidP="00B46478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B46478" w:rsidRPr="00BD1CC1" w14:paraId="70134403" w14:textId="77777777" w:rsidTr="00B46478">
        <w:trPr>
          <w:trHeight w:val="378"/>
          <w:jc w:val="right"/>
        </w:trPr>
        <w:tc>
          <w:tcPr>
            <w:tcW w:w="1854" w:type="dxa"/>
            <w:hideMark/>
          </w:tcPr>
          <w:p w14:paraId="48F16743" w14:textId="2D6E3C32" w:rsidR="00B46478" w:rsidRPr="00FF66BF" w:rsidRDefault="00B46478" w:rsidP="00B46478">
            <w:pPr>
              <w:pStyle w:val="RefTableData"/>
            </w:pPr>
            <w:r w:rsidRPr="00B46478">
              <w:t>2098-A</w:t>
            </w:r>
          </w:p>
        </w:tc>
      </w:tr>
    </w:tbl>
    <w:p w14:paraId="74FBA5B4" w14:textId="77777777" w:rsidR="00051356" w:rsidRPr="0068124A" w:rsidRDefault="00051356" w:rsidP="0068124A">
      <w:pPr>
        <w:pStyle w:val="BodyText"/>
        <w:rPr>
          <w:sz w:val="12"/>
          <w:szCs w:val="12"/>
        </w:rPr>
        <w:sectPr w:rsidR="00051356" w:rsidRPr="0068124A" w:rsidSect="005354F0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99"/>
        </w:sectPr>
      </w:pPr>
    </w:p>
    <w:p w14:paraId="3F4DE49F" w14:textId="0CB2DA69" w:rsidR="004B15BB" w:rsidRPr="00B46478" w:rsidRDefault="00774962" w:rsidP="00774962">
      <w:pPr>
        <w:pStyle w:val="Heading1"/>
      </w:pPr>
      <w:r w:rsidRPr="00B46478">
        <w:t>Specialty Guideline Management</w:t>
      </w:r>
      <w:r w:rsidRPr="00B46478">
        <w:br/>
        <w:t>miglustat</w:t>
      </w:r>
      <w:r w:rsidR="004D752C">
        <w:t xml:space="preserve"> </w:t>
      </w:r>
      <w:r w:rsidR="004F68FF">
        <w:t>products</w:t>
      </w:r>
    </w:p>
    <w:p w14:paraId="78861C92" w14:textId="32DCB65E" w:rsidR="00203468" w:rsidRPr="00B46478" w:rsidRDefault="00C64534" w:rsidP="008E0F0D">
      <w:pPr>
        <w:pStyle w:val="Heading2"/>
      </w:pPr>
      <w:r w:rsidRPr="00B46478">
        <w:t xml:space="preserve">Products Referenced by this </w:t>
      </w:r>
      <w:r w:rsidR="00501602" w:rsidRPr="00B46478">
        <w:t>Document</w:t>
      </w:r>
    </w:p>
    <w:p w14:paraId="5455152B" w14:textId="65BD12D0" w:rsidR="008E0F0D" w:rsidRPr="00B46478" w:rsidRDefault="00D82D85" w:rsidP="008B73E8">
      <w:pPr>
        <w:pStyle w:val="BodyText"/>
      </w:pPr>
      <w:r w:rsidRPr="00B46478">
        <w:t xml:space="preserve">Drugs that are listed in the </w:t>
      </w:r>
      <w:r w:rsidR="000315F1" w:rsidRPr="00B46478">
        <w:t>following table</w:t>
      </w:r>
      <w:r w:rsidRPr="00B46478">
        <w:t xml:space="preserve"> include both brand and generic and all dosage forms and strengths unless otherwise stated. </w:t>
      </w:r>
      <w:proofErr w:type="gramStart"/>
      <w:r w:rsidR="00812CCB">
        <w:t>Over-the-counter</w:t>
      </w:r>
      <w:proofErr w:type="gramEnd"/>
      <w:r w:rsidR="00812CCB">
        <w:t xml:space="preserve"> (</w:t>
      </w:r>
      <w:r w:rsidRPr="00B46478">
        <w:t>OTC</w:t>
      </w:r>
      <w:r w:rsidR="00812CCB">
        <w:t>)</w:t>
      </w:r>
      <w:r w:rsidRPr="00B46478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46478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46478" w:rsidRDefault="00252CE1" w:rsidP="00AA1E6A">
            <w:pPr>
              <w:pStyle w:val="TableHeader"/>
            </w:pPr>
            <w:bookmarkStart w:id="0" w:name="_Hlk159603270"/>
            <w:r w:rsidRPr="00B46478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46478" w:rsidRDefault="00252CE1" w:rsidP="00AA1E6A">
            <w:pPr>
              <w:pStyle w:val="TableHeader"/>
            </w:pPr>
            <w:r w:rsidRPr="00B46478">
              <w:t>Generic Name</w:t>
            </w:r>
          </w:p>
        </w:tc>
      </w:tr>
      <w:tr w:rsidR="00585FFF" w:rsidRPr="00B46478" w14:paraId="2AD5C02D" w14:textId="77777777" w:rsidTr="000C5A6F">
        <w:trPr>
          <w:cantSplit/>
        </w:trPr>
        <w:tc>
          <w:tcPr>
            <w:tcW w:w="5265" w:type="dxa"/>
          </w:tcPr>
          <w:p w14:paraId="2D8FA8E3" w14:textId="362A2523" w:rsidR="00585FFF" w:rsidRPr="00B46478" w:rsidRDefault="00774962" w:rsidP="00E82ABA">
            <w:pPr>
              <w:pStyle w:val="TableDataUnpadded"/>
            </w:pPr>
            <w:proofErr w:type="spellStart"/>
            <w:r w:rsidRPr="00B46478">
              <w:t>Zavesca</w:t>
            </w:r>
            <w:proofErr w:type="spellEnd"/>
          </w:p>
        </w:tc>
        <w:tc>
          <w:tcPr>
            <w:tcW w:w="5595" w:type="dxa"/>
          </w:tcPr>
          <w:p w14:paraId="7E26A004" w14:textId="6ACB7E75" w:rsidR="00585FFF" w:rsidRPr="00B46478" w:rsidRDefault="00610156" w:rsidP="00E82ABA">
            <w:pPr>
              <w:pStyle w:val="TableDataUnpadded"/>
            </w:pPr>
            <w:r w:rsidRPr="00B46478">
              <w:t>miglustat</w:t>
            </w:r>
          </w:p>
        </w:tc>
      </w:tr>
      <w:tr w:rsidR="00D21D0C" w:rsidRPr="00B46478" w14:paraId="79C2A122" w14:textId="77777777" w:rsidTr="000C5A6F">
        <w:trPr>
          <w:cantSplit/>
        </w:trPr>
        <w:tc>
          <w:tcPr>
            <w:tcW w:w="5265" w:type="dxa"/>
          </w:tcPr>
          <w:p w14:paraId="08001603" w14:textId="78C07ABE" w:rsidR="00D21D0C" w:rsidRPr="00B46478" w:rsidRDefault="00C72707" w:rsidP="00E82ABA">
            <w:pPr>
              <w:pStyle w:val="TableDataUnpadded"/>
            </w:pPr>
            <w:proofErr w:type="spellStart"/>
            <w:r w:rsidRPr="00B46478">
              <w:t>Yargesa</w:t>
            </w:r>
            <w:proofErr w:type="spellEnd"/>
          </w:p>
        </w:tc>
        <w:tc>
          <w:tcPr>
            <w:tcW w:w="5595" w:type="dxa"/>
          </w:tcPr>
          <w:p w14:paraId="26C54A5D" w14:textId="1020524C" w:rsidR="00D21D0C" w:rsidRPr="00B46478" w:rsidRDefault="00BC28AB" w:rsidP="00E82ABA">
            <w:pPr>
              <w:pStyle w:val="TableDataUnpadded"/>
            </w:pPr>
            <w:r w:rsidRPr="00B46478">
              <w:t>miglustat</w:t>
            </w:r>
          </w:p>
        </w:tc>
      </w:tr>
      <w:tr w:rsidR="00CE473C" w:rsidRPr="00B46478" w14:paraId="5403BF0A" w14:textId="77777777" w:rsidTr="000C5A6F">
        <w:trPr>
          <w:cantSplit/>
        </w:trPr>
        <w:tc>
          <w:tcPr>
            <w:tcW w:w="5265" w:type="dxa"/>
          </w:tcPr>
          <w:p w14:paraId="59DF2F5D" w14:textId="4E65063B" w:rsidR="00CE473C" w:rsidRPr="00B46478" w:rsidRDefault="00774962" w:rsidP="00E82ABA">
            <w:pPr>
              <w:pStyle w:val="TableDataUnpadded"/>
            </w:pPr>
            <w:proofErr w:type="spellStart"/>
            <w:r w:rsidRPr="00B46478">
              <w:t>Opfolda</w:t>
            </w:r>
            <w:proofErr w:type="spellEnd"/>
          </w:p>
        </w:tc>
        <w:tc>
          <w:tcPr>
            <w:tcW w:w="5595" w:type="dxa"/>
          </w:tcPr>
          <w:p w14:paraId="6228D86D" w14:textId="6DDE1835" w:rsidR="00CE473C" w:rsidRPr="00B46478" w:rsidRDefault="006375F4" w:rsidP="00E82ABA">
            <w:pPr>
              <w:pStyle w:val="TableDataUnpadded"/>
            </w:pPr>
            <w:r w:rsidRPr="00B46478">
              <w:t>miglustat</w:t>
            </w:r>
          </w:p>
        </w:tc>
      </w:tr>
    </w:tbl>
    <w:bookmarkEnd w:id="0"/>
    <w:p w14:paraId="14CE6108" w14:textId="076164BC" w:rsidR="00FC1AAD" w:rsidRPr="00B46478" w:rsidRDefault="00ED052F" w:rsidP="00ED052F">
      <w:pPr>
        <w:pStyle w:val="Heading2"/>
      </w:pPr>
      <w:r w:rsidRPr="00B46478">
        <w:t>Indications</w:t>
      </w:r>
    </w:p>
    <w:p w14:paraId="11ABBC01" w14:textId="4B6E76AC" w:rsidR="008432C4" w:rsidRPr="00B46478" w:rsidRDefault="008432C4" w:rsidP="008432C4">
      <w:pPr>
        <w:pStyle w:val="BodyText"/>
      </w:pPr>
      <w:r w:rsidRPr="00B46478">
        <w:t xml:space="preserve">The indications below including FDA-approved indications and compendial uses are considered a covered benefit provided that all the approval criteria are </w:t>
      </w:r>
      <w:proofErr w:type="gramStart"/>
      <w:r w:rsidRPr="00B46478">
        <w:t>met</w:t>
      </w:r>
      <w:proofErr w:type="gramEnd"/>
      <w:r w:rsidRPr="00B46478">
        <w:t xml:space="preserve"> and the member has no exclusions to the prescribed therapy</w:t>
      </w:r>
      <w:r w:rsidR="00C72AA2" w:rsidRPr="00B46478">
        <w:t>.</w:t>
      </w:r>
    </w:p>
    <w:p w14:paraId="134B5687" w14:textId="24DFDE0C" w:rsidR="00ED052F" w:rsidRPr="00B46478" w:rsidRDefault="00ED052F" w:rsidP="57BC9385">
      <w:pPr>
        <w:pStyle w:val="Heading3"/>
        <w:keepNext w:val="0"/>
        <w:keepLines w:val="0"/>
        <w:widowControl w:val="0"/>
        <w:rPr>
          <w:vertAlign w:val="superscript"/>
        </w:rPr>
      </w:pPr>
      <w:r>
        <w:t>FDA-</w:t>
      </w:r>
      <w:r w:rsidR="00774962">
        <w:t>A</w:t>
      </w:r>
      <w:r>
        <w:t>pproved Indications</w:t>
      </w:r>
      <w:r w:rsidR="00B06038" w:rsidRPr="57BC9385">
        <w:rPr>
          <w:vertAlign w:val="superscript"/>
        </w:rPr>
        <w:t>1,2,</w:t>
      </w:r>
      <w:r w:rsidR="00BF3E1F" w:rsidRPr="57BC9385">
        <w:rPr>
          <w:vertAlign w:val="superscript"/>
        </w:rPr>
        <w:t>5,</w:t>
      </w:r>
      <w:r w:rsidR="00B06038" w:rsidRPr="57BC9385">
        <w:rPr>
          <w:vertAlign w:val="superscript"/>
        </w:rPr>
        <w:t>6</w:t>
      </w:r>
    </w:p>
    <w:p w14:paraId="75BDE901" w14:textId="2B904E89" w:rsidR="00E81004" w:rsidRPr="00B46478" w:rsidRDefault="006A1C59" w:rsidP="006A1C59">
      <w:pPr>
        <w:pStyle w:val="Heading4"/>
        <w:keepNext w:val="0"/>
        <w:keepLines w:val="0"/>
        <w:widowControl w:val="0"/>
      </w:pPr>
      <w:bookmarkStart w:id="1" w:name="OLE_LINK1"/>
      <w:proofErr w:type="spellStart"/>
      <w:r w:rsidRPr="00B46478">
        <w:t>miglustat</w:t>
      </w:r>
      <w:proofErr w:type="spellEnd"/>
      <w:r w:rsidRPr="00B46478">
        <w:t xml:space="preserve"> </w:t>
      </w:r>
      <w:r w:rsidR="00E81004" w:rsidRPr="00B46478">
        <w:t>(generic)/</w:t>
      </w:r>
      <w:proofErr w:type="spellStart"/>
      <w:r w:rsidR="00E81004" w:rsidRPr="00B46478">
        <w:t>Yargesa</w:t>
      </w:r>
      <w:proofErr w:type="spellEnd"/>
      <w:r w:rsidR="00E81004" w:rsidRPr="00B46478">
        <w:t>/</w:t>
      </w:r>
      <w:proofErr w:type="spellStart"/>
      <w:r w:rsidR="00E81004" w:rsidRPr="00B46478">
        <w:t>Zavesca</w:t>
      </w:r>
      <w:proofErr w:type="spellEnd"/>
      <w:r w:rsidR="00E81004" w:rsidRPr="00B46478">
        <w:t>:</w:t>
      </w:r>
    </w:p>
    <w:bookmarkEnd w:id="1"/>
    <w:p w14:paraId="11A0C427" w14:textId="77777777" w:rsidR="00E81004" w:rsidRPr="00B46478" w:rsidRDefault="00E81004" w:rsidP="006A1C59">
      <w:pPr>
        <w:pStyle w:val="BodyText"/>
        <w:widowControl w:val="0"/>
      </w:pPr>
      <w:r w:rsidRPr="00B46478">
        <w:t>Indicated as monotherapy for the treatment of adult patients with mild to moderate type 1 Gaucher disease for whom enzyme replacement therapy is not a therapeutic option (e.g. due to allergy, hypersensitivity, or poor venous access).</w:t>
      </w:r>
    </w:p>
    <w:p w14:paraId="74527B8B" w14:textId="77777777" w:rsidR="00E81004" w:rsidRPr="00B46478" w:rsidRDefault="00E81004" w:rsidP="00774962">
      <w:pPr>
        <w:pStyle w:val="Heading4"/>
      </w:pPr>
      <w:bookmarkStart w:id="2" w:name="OLE_LINK2"/>
      <w:proofErr w:type="spellStart"/>
      <w:r w:rsidRPr="00B46478">
        <w:t>Opfolda</w:t>
      </w:r>
      <w:bookmarkEnd w:id="2"/>
      <w:proofErr w:type="spellEnd"/>
      <w:r w:rsidRPr="00B46478">
        <w:t>:</w:t>
      </w:r>
    </w:p>
    <w:p w14:paraId="4C434745" w14:textId="40FFE5C5" w:rsidR="00ED052F" w:rsidRPr="00B46478" w:rsidRDefault="00E81004" w:rsidP="00774962">
      <w:pPr>
        <w:pStyle w:val="BodyText"/>
      </w:pPr>
      <w:r w:rsidRPr="00B46478">
        <w:t xml:space="preserve">Indicated, in combination with </w:t>
      </w:r>
      <w:proofErr w:type="spellStart"/>
      <w:r w:rsidRPr="00B46478">
        <w:t>Pombiliti</w:t>
      </w:r>
      <w:proofErr w:type="spellEnd"/>
      <w:r w:rsidRPr="00B46478">
        <w:t xml:space="preserve">, for the treatment of adult patients with late-onset </w:t>
      </w:r>
      <w:proofErr w:type="spellStart"/>
      <w:r w:rsidRPr="00B46478">
        <w:t>Pompe</w:t>
      </w:r>
      <w:proofErr w:type="spellEnd"/>
      <w:r w:rsidRPr="00B46478">
        <w:t xml:space="preserve"> disease (lysosomal acid alpha-glucosidase [GAA] deficiency) weighing greater than or equal to 40 kg and who are not improving on their current enzyme replacement therapy (ERT</w:t>
      </w:r>
      <w:r w:rsidR="0031514D" w:rsidRPr="00B46478">
        <w:t>)</w:t>
      </w:r>
      <w:r w:rsidR="00ED052F" w:rsidRPr="00B46478">
        <w:t>.</w:t>
      </w:r>
    </w:p>
    <w:p w14:paraId="0B5EC236" w14:textId="097774FE" w:rsidR="0044763A" w:rsidRPr="00B46478" w:rsidRDefault="009F2EF1" w:rsidP="0044763A">
      <w:pPr>
        <w:pStyle w:val="Heading3"/>
      </w:pPr>
      <w:r w:rsidRPr="00B46478">
        <w:lastRenderedPageBreak/>
        <w:t>Compendial Uses</w:t>
      </w:r>
    </w:p>
    <w:p w14:paraId="71067189" w14:textId="7E6FE205" w:rsidR="00FE1FE6" w:rsidRPr="00B46478" w:rsidRDefault="00FE1FE6" w:rsidP="00FE1FE6">
      <w:pPr>
        <w:pStyle w:val="BodyText"/>
      </w:pPr>
      <w:r w:rsidRPr="00B46478">
        <w:t>Niemann-Pick disease, type C</w:t>
      </w:r>
      <w:r w:rsidR="00B06038" w:rsidRPr="005354F0">
        <w:rPr>
          <w:vertAlign w:val="superscript"/>
        </w:rPr>
        <w:t>3</w:t>
      </w:r>
      <w:r w:rsidR="00BF3E1F">
        <w:rPr>
          <w:vertAlign w:val="superscript"/>
        </w:rPr>
        <w:t>,4</w:t>
      </w:r>
    </w:p>
    <w:p w14:paraId="0D5A9DD5" w14:textId="35DEBB2C" w:rsidR="009A5649" w:rsidRPr="00B46478" w:rsidRDefault="00FE1FE6" w:rsidP="00FE1FE6">
      <w:pPr>
        <w:pStyle w:val="BodyText"/>
      </w:pPr>
      <w:r w:rsidRPr="00B46478">
        <w:t>All other indications are considered experimental/investigational and not medically necessary</w:t>
      </w:r>
      <w:r w:rsidR="009A5649" w:rsidRPr="00B46478">
        <w:t>.</w:t>
      </w:r>
    </w:p>
    <w:p w14:paraId="36381B6D" w14:textId="6E5B89E8" w:rsidR="000D2496" w:rsidRPr="00B46478" w:rsidRDefault="000D2496" w:rsidP="000D2496">
      <w:pPr>
        <w:pStyle w:val="Heading2"/>
      </w:pPr>
      <w:r w:rsidRPr="00B46478">
        <w:t>Documentation</w:t>
      </w:r>
    </w:p>
    <w:p w14:paraId="12C0243C" w14:textId="3AA1565C" w:rsidR="00986BE2" w:rsidRPr="00B46478" w:rsidRDefault="00774962" w:rsidP="00774962">
      <w:pPr>
        <w:pStyle w:val="BodyText"/>
      </w:pPr>
      <w:r w:rsidRPr="00B46478">
        <w:t>Submission of the following information is necessary to initiate the prior authorization review:</w:t>
      </w:r>
    </w:p>
    <w:p w14:paraId="703ACCFD" w14:textId="3CBF671E" w:rsidR="00986BE2" w:rsidRPr="00B46478" w:rsidRDefault="00986BE2" w:rsidP="7BB7C6D4">
      <w:pPr>
        <w:pStyle w:val="ListParagraph"/>
        <w:numPr>
          <w:ilvl w:val="0"/>
          <w:numId w:val="40"/>
        </w:numPr>
      </w:pPr>
      <w:r>
        <w:t xml:space="preserve">Gaucher disease type 1: beta-glucocerebrosidase </w:t>
      </w:r>
      <w:r w:rsidR="46E75729">
        <w:t xml:space="preserve">(glucosidase) </w:t>
      </w:r>
      <w:r>
        <w:t>enzyme assay or genetic testing results supporting diagnosis.</w:t>
      </w:r>
    </w:p>
    <w:p w14:paraId="1AD6F2C9" w14:textId="0070F518" w:rsidR="00986BE2" w:rsidRPr="00B46478" w:rsidRDefault="00986BE2" w:rsidP="00774962">
      <w:pPr>
        <w:pStyle w:val="ListParagraph"/>
        <w:numPr>
          <w:ilvl w:val="0"/>
          <w:numId w:val="40"/>
        </w:numPr>
        <w:contextualSpacing w:val="0"/>
      </w:pPr>
      <w:r w:rsidRPr="00B46478">
        <w:t>Niemann-Pick disease, type C: genetic testing results showing mutations in NPC1 or NPC2 genes.</w:t>
      </w:r>
    </w:p>
    <w:p w14:paraId="432CB9A6" w14:textId="15E3C577" w:rsidR="00986BE2" w:rsidRPr="00B46478" w:rsidRDefault="00986BE2" w:rsidP="00774962">
      <w:pPr>
        <w:pStyle w:val="ListParagraph"/>
        <w:numPr>
          <w:ilvl w:val="0"/>
          <w:numId w:val="40"/>
        </w:numPr>
        <w:contextualSpacing w:val="0"/>
      </w:pPr>
      <w:r w:rsidRPr="00B46478">
        <w:t xml:space="preserve">Late-onset </w:t>
      </w:r>
      <w:proofErr w:type="spellStart"/>
      <w:r w:rsidRPr="00B46478">
        <w:t>Pompe</w:t>
      </w:r>
      <w:proofErr w:type="spellEnd"/>
      <w:r w:rsidRPr="00B46478">
        <w:t xml:space="preserve"> disease:</w:t>
      </w:r>
    </w:p>
    <w:p w14:paraId="25DAEABA" w14:textId="54AFBC1F" w:rsidR="00986BE2" w:rsidRPr="00B46478" w:rsidRDefault="00986BE2" w:rsidP="00774962">
      <w:pPr>
        <w:pStyle w:val="ListParagraph"/>
        <w:numPr>
          <w:ilvl w:val="1"/>
          <w:numId w:val="41"/>
        </w:numPr>
        <w:contextualSpacing w:val="0"/>
      </w:pPr>
      <w:r w:rsidRPr="00B46478">
        <w:t>Initial requests: acid alpha-glucosidase enzyme assay or genetic testing results supporting diagnosis.</w:t>
      </w:r>
    </w:p>
    <w:p w14:paraId="6549D0D0" w14:textId="5B2E4289" w:rsidR="00B306FB" w:rsidRDefault="00986BE2" w:rsidP="00B306FB">
      <w:pPr>
        <w:pStyle w:val="ListParagraph"/>
        <w:numPr>
          <w:ilvl w:val="1"/>
          <w:numId w:val="41"/>
        </w:numPr>
        <w:contextualSpacing w:val="0"/>
      </w:pPr>
      <w:r w:rsidRPr="00B46478">
        <w:t>Continuation requests: chart notes documenting a positive response to therapy (e.g., improvement, stabilization, or slowing of disease progression for motor function, walking capacity, respiratory function, muscle strength</w:t>
      </w:r>
      <w:r w:rsidR="003F54EC" w:rsidRPr="00B46478">
        <w:t>).</w:t>
      </w:r>
    </w:p>
    <w:p w14:paraId="6B1FEE84" w14:textId="73AA8742" w:rsidR="00B306FB" w:rsidRDefault="00B306FB" w:rsidP="00B306FB">
      <w:pPr>
        <w:pStyle w:val="Heading2"/>
      </w:pPr>
      <w:r>
        <w:t>Prescriber Specialties</w:t>
      </w:r>
    </w:p>
    <w:p w14:paraId="1CDE9ED7" w14:textId="73DFD8EE" w:rsidR="00B306FB" w:rsidRPr="00B306FB" w:rsidRDefault="00B306FB" w:rsidP="00043D07">
      <w:pPr>
        <w:pStyle w:val="BodyText"/>
      </w:pPr>
      <w:r>
        <w:t>T</w:t>
      </w:r>
      <w:r w:rsidR="74314EB9">
        <w:t xml:space="preserve">his medication must be prescribed by or in consultation with a </w:t>
      </w:r>
      <w:r>
        <w:t>physician</w:t>
      </w:r>
      <w:r w:rsidR="23F54F45">
        <w:t xml:space="preserve"> who specializes in the treatment</w:t>
      </w:r>
      <w:r>
        <w:t xml:space="preserve"> of </w:t>
      </w:r>
      <w:r w:rsidR="00772204">
        <w:t>metabolic disease</w:t>
      </w:r>
      <w:r w:rsidR="3829F8BF">
        <w:t xml:space="preserve"> </w:t>
      </w:r>
      <w:r w:rsidR="4D66CEFE">
        <w:t>and/</w:t>
      </w:r>
      <w:r w:rsidR="00772204">
        <w:t>or lysosomal storage disorders</w:t>
      </w:r>
      <w:r>
        <w:t>.</w:t>
      </w:r>
    </w:p>
    <w:p w14:paraId="7DDAC4FC" w14:textId="699ACBA9" w:rsidR="00016A2E" w:rsidRPr="00B46478" w:rsidRDefault="00B46478" w:rsidP="001D0026">
      <w:pPr>
        <w:pStyle w:val="Heading2"/>
        <w:keepLines/>
        <w:widowControl w:val="0"/>
        <w:tabs>
          <w:tab w:val="left" w:pos="9195"/>
        </w:tabs>
      </w:pPr>
      <w:r>
        <w:t xml:space="preserve">Coverage </w:t>
      </w:r>
      <w:r w:rsidR="00774962" w:rsidRPr="00B46478">
        <w:t>Criteria</w:t>
      </w:r>
    </w:p>
    <w:p w14:paraId="63C70A8D" w14:textId="2BDBB10D" w:rsidR="00491609" w:rsidRPr="00B46478" w:rsidRDefault="00491609" w:rsidP="001D0026">
      <w:pPr>
        <w:pStyle w:val="Heading3"/>
        <w:widowControl w:val="0"/>
      </w:pPr>
      <w:r w:rsidRPr="00B46478">
        <w:t xml:space="preserve">Gaucher </w:t>
      </w:r>
      <w:r w:rsidR="001D0026" w:rsidRPr="00B46478">
        <w:t>Disease Type 1 (</w:t>
      </w:r>
      <w:proofErr w:type="spellStart"/>
      <w:r w:rsidR="00735069">
        <w:t>m</w:t>
      </w:r>
      <w:r w:rsidR="00735069" w:rsidRPr="00B46478">
        <w:t>iglustat</w:t>
      </w:r>
      <w:proofErr w:type="spellEnd"/>
      <w:r w:rsidR="00735069" w:rsidRPr="00B46478">
        <w:t xml:space="preserve"> </w:t>
      </w:r>
      <w:r w:rsidR="001D0026" w:rsidRPr="00B46478">
        <w:t>(</w:t>
      </w:r>
      <w:r w:rsidR="00735069">
        <w:t>g</w:t>
      </w:r>
      <w:r w:rsidR="00735069" w:rsidRPr="00B46478">
        <w:t>eneric</w:t>
      </w:r>
      <w:r w:rsidR="001D0026" w:rsidRPr="00B46478">
        <w:t>)/</w:t>
      </w:r>
      <w:proofErr w:type="spellStart"/>
      <w:r w:rsidRPr="00B46478">
        <w:t>Yargesa</w:t>
      </w:r>
      <w:proofErr w:type="spellEnd"/>
      <w:r w:rsidR="001D0026" w:rsidRPr="00B46478">
        <w:t>/</w:t>
      </w:r>
      <w:proofErr w:type="spellStart"/>
      <w:r w:rsidRPr="00B46478">
        <w:t>Zavesca</w:t>
      </w:r>
      <w:proofErr w:type="spellEnd"/>
      <w:r w:rsidRPr="00B46478">
        <w:t xml:space="preserve"> </w:t>
      </w:r>
      <w:r w:rsidR="001D0026" w:rsidRPr="00B46478">
        <w:t>Only)</w:t>
      </w:r>
      <w:r w:rsidR="000C710B" w:rsidRPr="005354F0">
        <w:rPr>
          <w:vertAlign w:val="superscript"/>
        </w:rPr>
        <w:t>1,2,</w:t>
      </w:r>
      <w:r w:rsidR="00BF3E1F">
        <w:rPr>
          <w:vertAlign w:val="superscript"/>
        </w:rPr>
        <w:t>6</w:t>
      </w:r>
    </w:p>
    <w:p w14:paraId="65ECAE5E" w14:textId="77777777" w:rsidR="00491609" w:rsidRPr="00B46478" w:rsidRDefault="00491609" w:rsidP="001D0026">
      <w:pPr>
        <w:pStyle w:val="BodyText"/>
        <w:keepNext/>
        <w:keepLines/>
        <w:widowControl w:val="0"/>
      </w:pPr>
      <w:r w:rsidRPr="00B46478">
        <w:t xml:space="preserve">Authorization of 12 months may be granted for treatment of Gaucher disease type 1 when </w:t>
      </w:r>
      <w:proofErr w:type="gramStart"/>
      <w:r w:rsidRPr="00B46478">
        <w:t>ALL of</w:t>
      </w:r>
      <w:proofErr w:type="gramEnd"/>
      <w:r w:rsidRPr="00B46478">
        <w:t xml:space="preserve"> the following criteria are met:</w:t>
      </w:r>
    </w:p>
    <w:p w14:paraId="43EA429C" w14:textId="5E1B185B" w:rsidR="00491609" w:rsidRPr="00B46478" w:rsidRDefault="00491609" w:rsidP="00C319F5">
      <w:pPr>
        <w:pStyle w:val="ListParagraph"/>
        <w:numPr>
          <w:ilvl w:val="0"/>
          <w:numId w:val="42"/>
        </w:numPr>
        <w:contextualSpacing w:val="0"/>
      </w:pPr>
      <w:r w:rsidRPr="00B46478">
        <w:t>The diagnosis of Gaucher disease was confirmed by enzyme assay demonstrating a deficiency of beta-glucocerebrosidase (glucosidase) enzyme activity or by genetic testing, and</w:t>
      </w:r>
    </w:p>
    <w:p w14:paraId="0D0A3B2F" w14:textId="508248C1" w:rsidR="00491609" w:rsidRPr="00B46478" w:rsidRDefault="00491609" w:rsidP="00C319F5">
      <w:pPr>
        <w:pStyle w:val="ListParagraph"/>
        <w:numPr>
          <w:ilvl w:val="0"/>
          <w:numId w:val="42"/>
        </w:numPr>
        <w:contextualSpacing w:val="0"/>
      </w:pPr>
      <w:r w:rsidRPr="00B46478">
        <w:t>The member has a documented inadequate response to, intolerable adverse events with, or a clinical reason to not use enzyme replacement therapy (e.g., allergy, hypersensitivity, poor venous access).</w:t>
      </w:r>
    </w:p>
    <w:p w14:paraId="2ED44F00" w14:textId="680DC888" w:rsidR="00491609" w:rsidRPr="00B46478" w:rsidRDefault="00491609" w:rsidP="00C319F5">
      <w:pPr>
        <w:pStyle w:val="Heading3"/>
      </w:pPr>
      <w:r w:rsidRPr="00B46478">
        <w:lastRenderedPageBreak/>
        <w:t>Niemann</w:t>
      </w:r>
      <w:r w:rsidR="001D0026" w:rsidRPr="00B46478">
        <w:t>-</w:t>
      </w:r>
      <w:r w:rsidRPr="00B46478">
        <w:t xml:space="preserve">Pick </w:t>
      </w:r>
      <w:r w:rsidR="001D0026" w:rsidRPr="00B46478">
        <w:t xml:space="preserve">Disease, Type </w:t>
      </w:r>
      <w:r w:rsidRPr="00B46478">
        <w:t xml:space="preserve">C </w:t>
      </w:r>
      <w:r w:rsidR="001D0026" w:rsidRPr="00B46478">
        <w:t>(</w:t>
      </w:r>
      <w:proofErr w:type="spellStart"/>
      <w:r w:rsidR="000C710B">
        <w:t>m</w:t>
      </w:r>
      <w:r w:rsidR="000C710B" w:rsidRPr="00B46478">
        <w:t>iglustat</w:t>
      </w:r>
      <w:proofErr w:type="spellEnd"/>
      <w:r w:rsidR="000C710B" w:rsidRPr="00B46478">
        <w:t xml:space="preserve"> </w:t>
      </w:r>
      <w:r w:rsidR="001D0026" w:rsidRPr="00B46478">
        <w:t>(</w:t>
      </w:r>
      <w:r w:rsidR="000C710B">
        <w:t>g</w:t>
      </w:r>
      <w:r w:rsidR="000C710B" w:rsidRPr="00B46478">
        <w:t>eneric</w:t>
      </w:r>
      <w:r w:rsidR="001D0026" w:rsidRPr="00B46478">
        <w:t>)/</w:t>
      </w:r>
      <w:proofErr w:type="spellStart"/>
      <w:r w:rsidRPr="00B46478">
        <w:t>Yargesa</w:t>
      </w:r>
      <w:proofErr w:type="spellEnd"/>
      <w:r w:rsidR="001D0026" w:rsidRPr="00B46478">
        <w:t>/</w:t>
      </w:r>
      <w:proofErr w:type="spellStart"/>
      <w:r w:rsidRPr="00B46478">
        <w:t>Zavesca</w:t>
      </w:r>
      <w:proofErr w:type="spellEnd"/>
      <w:r w:rsidRPr="00B46478">
        <w:t xml:space="preserve"> </w:t>
      </w:r>
      <w:r w:rsidR="001D0026" w:rsidRPr="00B46478">
        <w:t>Only)</w:t>
      </w:r>
      <w:r w:rsidR="00E326FF" w:rsidRPr="005354F0">
        <w:rPr>
          <w:vertAlign w:val="superscript"/>
        </w:rPr>
        <w:t>3</w:t>
      </w:r>
      <w:r w:rsidR="00BF3E1F">
        <w:rPr>
          <w:vertAlign w:val="superscript"/>
        </w:rPr>
        <w:t>,4</w:t>
      </w:r>
    </w:p>
    <w:p w14:paraId="21E77C35" w14:textId="77777777" w:rsidR="00491609" w:rsidRPr="00B46478" w:rsidRDefault="00491609" w:rsidP="00491609">
      <w:pPr>
        <w:pStyle w:val="BodyText"/>
      </w:pPr>
      <w:r w:rsidRPr="00B46478">
        <w:t>Authorization of 12 months may be granted for treatment of Niemann-Pick disease, type C when the diagnosis was confirmed by genetic testing results showing mutations in NPC1 or NPC2 genes.</w:t>
      </w:r>
    </w:p>
    <w:p w14:paraId="0DF608F5" w14:textId="5123A46D" w:rsidR="00491609" w:rsidRPr="00B46478" w:rsidRDefault="00491609" w:rsidP="00C319F5">
      <w:pPr>
        <w:pStyle w:val="Heading3"/>
      </w:pPr>
      <w:r w:rsidRPr="00B46478">
        <w:t>Late</w:t>
      </w:r>
      <w:r w:rsidR="001D0026" w:rsidRPr="00B46478">
        <w:t>-</w:t>
      </w:r>
      <w:r w:rsidR="00E326FF">
        <w:t>o</w:t>
      </w:r>
      <w:r w:rsidR="00E326FF" w:rsidRPr="00B46478">
        <w:t xml:space="preserve">nset </w:t>
      </w:r>
      <w:proofErr w:type="spellStart"/>
      <w:r w:rsidRPr="00B46478">
        <w:t>Pompe</w:t>
      </w:r>
      <w:proofErr w:type="spellEnd"/>
      <w:r w:rsidRPr="00B46478">
        <w:t xml:space="preserve"> </w:t>
      </w:r>
      <w:r w:rsidR="00E326FF">
        <w:t>d</w:t>
      </w:r>
      <w:r w:rsidR="00E326FF" w:rsidRPr="00B46478">
        <w:t xml:space="preserve">isease </w:t>
      </w:r>
      <w:r w:rsidR="001D0026" w:rsidRPr="00B46478">
        <w:t>(</w:t>
      </w:r>
      <w:proofErr w:type="spellStart"/>
      <w:r w:rsidRPr="00B46478">
        <w:t>Opfolda</w:t>
      </w:r>
      <w:proofErr w:type="spellEnd"/>
      <w:r w:rsidRPr="00B46478">
        <w:t xml:space="preserve"> </w:t>
      </w:r>
      <w:r w:rsidR="00E326FF">
        <w:t>o</w:t>
      </w:r>
      <w:r w:rsidR="00E326FF" w:rsidRPr="00B46478">
        <w:t>nly</w:t>
      </w:r>
      <w:r w:rsidR="001D0026" w:rsidRPr="00B46478">
        <w:t>)</w:t>
      </w:r>
      <w:r w:rsidR="00BF3E1F">
        <w:rPr>
          <w:vertAlign w:val="superscript"/>
        </w:rPr>
        <w:t>5</w:t>
      </w:r>
    </w:p>
    <w:p w14:paraId="32C266C9" w14:textId="77777777" w:rsidR="00491609" w:rsidRPr="00B46478" w:rsidRDefault="00491609" w:rsidP="00491609">
      <w:pPr>
        <w:pStyle w:val="BodyText"/>
      </w:pPr>
      <w:r w:rsidRPr="00B46478">
        <w:t xml:space="preserve">Authorization of 12 months may be granted for treatment of late-onset </w:t>
      </w:r>
      <w:proofErr w:type="spellStart"/>
      <w:r w:rsidRPr="00B46478">
        <w:t>Pompe</w:t>
      </w:r>
      <w:proofErr w:type="spellEnd"/>
      <w:r w:rsidRPr="00B46478">
        <w:t xml:space="preserve"> disease when </w:t>
      </w:r>
      <w:proofErr w:type="gramStart"/>
      <w:r w:rsidRPr="00B46478">
        <w:t>all of</w:t>
      </w:r>
      <w:proofErr w:type="gramEnd"/>
      <w:r w:rsidRPr="00B46478">
        <w:t xml:space="preserve"> the following criteria are met:</w:t>
      </w:r>
    </w:p>
    <w:p w14:paraId="66EE074E" w14:textId="5F192B1C" w:rsidR="00491609" w:rsidRPr="00B46478" w:rsidRDefault="00491609" w:rsidP="00C319F5">
      <w:pPr>
        <w:pStyle w:val="ListParagraph"/>
        <w:numPr>
          <w:ilvl w:val="0"/>
          <w:numId w:val="43"/>
        </w:numPr>
        <w:contextualSpacing w:val="0"/>
      </w:pPr>
      <w:r w:rsidRPr="00B46478">
        <w:t>Member is 18 years of age or older.</w:t>
      </w:r>
    </w:p>
    <w:p w14:paraId="549B36D1" w14:textId="76BB6C4B" w:rsidR="00491609" w:rsidRPr="00B46478" w:rsidRDefault="00491609" w:rsidP="00C319F5">
      <w:pPr>
        <w:pStyle w:val="ListParagraph"/>
        <w:numPr>
          <w:ilvl w:val="0"/>
          <w:numId w:val="43"/>
        </w:numPr>
        <w:contextualSpacing w:val="0"/>
      </w:pPr>
      <w:r w:rsidRPr="00B46478">
        <w:t>Member weighs greater than or equal to 40 kg.</w:t>
      </w:r>
    </w:p>
    <w:p w14:paraId="6192D6F3" w14:textId="0492065F" w:rsidR="00491609" w:rsidRDefault="00491609" w:rsidP="00C319F5">
      <w:pPr>
        <w:pStyle w:val="ListParagraph"/>
        <w:numPr>
          <w:ilvl w:val="0"/>
          <w:numId w:val="43"/>
        </w:numPr>
        <w:contextualSpacing w:val="0"/>
      </w:pPr>
      <w:r w:rsidRPr="00B46478">
        <w:t>Diagnosis was confirmed by enzyme assay demonstrating a deficiency of acid alpha-glucosidase enzyme activity or by genetic testing.</w:t>
      </w:r>
    </w:p>
    <w:p w14:paraId="517B2CAC" w14:textId="23D23B16" w:rsidR="00A255AA" w:rsidRPr="00B46478" w:rsidRDefault="00A255AA" w:rsidP="00C319F5">
      <w:pPr>
        <w:pStyle w:val="ListParagraph"/>
        <w:numPr>
          <w:ilvl w:val="0"/>
          <w:numId w:val="43"/>
        </w:numPr>
        <w:contextualSpacing w:val="0"/>
      </w:pPr>
      <w:r w:rsidRPr="00A255AA">
        <w:t xml:space="preserve">Member is not improving on current enzyme replacement therapy (ERT) (e.g., </w:t>
      </w:r>
      <w:proofErr w:type="spellStart"/>
      <w:r w:rsidRPr="00A255AA">
        <w:t>Lumizyme</w:t>
      </w:r>
      <w:proofErr w:type="spellEnd"/>
      <w:r w:rsidRPr="00A255AA">
        <w:t xml:space="preserve">, </w:t>
      </w:r>
      <w:proofErr w:type="spellStart"/>
      <w:r w:rsidRPr="00A255AA">
        <w:t>Nexviazyme</w:t>
      </w:r>
      <w:proofErr w:type="spellEnd"/>
      <w:r w:rsidRPr="00A255AA">
        <w:t>)</w:t>
      </w:r>
      <w:r w:rsidR="00CE5EBA">
        <w:t>.</w:t>
      </w:r>
    </w:p>
    <w:p w14:paraId="594D1F1D" w14:textId="6E7A3FE2" w:rsidR="00491609" w:rsidRPr="00B46478" w:rsidRDefault="00491609" w:rsidP="00C319F5">
      <w:pPr>
        <w:pStyle w:val="ListParagraph"/>
        <w:numPr>
          <w:ilvl w:val="0"/>
          <w:numId w:val="43"/>
        </w:numPr>
        <w:contextualSpacing w:val="0"/>
      </w:pPr>
      <w:r w:rsidRPr="00B46478">
        <w:t xml:space="preserve">The requested medication will be taken in combination with </w:t>
      </w:r>
      <w:proofErr w:type="spellStart"/>
      <w:r w:rsidRPr="00B46478">
        <w:t>Pombiliti</w:t>
      </w:r>
      <w:proofErr w:type="spellEnd"/>
      <w:r w:rsidRPr="00B46478">
        <w:t xml:space="preserve"> (</w:t>
      </w:r>
      <w:proofErr w:type="spellStart"/>
      <w:r w:rsidRPr="00B46478">
        <w:t>cipaglucosidase</w:t>
      </w:r>
      <w:proofErr w:type="spellEnd"/>
      <w:r w:rsidRPr="00B46478">
        <w:t xml:space="preserve"> alfa-</w:t>
      </w:r>
      <w:proofErr w:type="spellStart"/>
      <w:r w:rsidRPr="00B46478">
        <w:t>atga</w:t>
      </w:r>
      <w:proofErr w:type="spellEnd"/>
      <w:r w:rsidRPr="00B46478">
        <w:t>).</w:t>
      </w:r>
    </w:p>
    <w:p w14:paraId="3A643EC3" w14:textId="0FD61437" w:rsidR="00A501AC" w:rsidRPr="00B46478" w:rsidRDefault="00A501AC" w:rsidP="001D0026">
      <w:pPr>
        <w:pStyle w:val="Heading2"/>
        <w:keepLines/>
        <w:widowControl w:val="0"/>
        <w:tabs>
          <w:tab w:val="left" w:pos="9615"/>
        </w:tabs>
      </w:pPr>
      <w:r w:rsidRPr="00B46478">
        <w:t>Continuation of Therapy</w:t>
      </w:r>
    </w:p>
    <w:p w14:paraId="681049CC" w14:textId="23ABC604" w:rsidR="00E0190A" w:rsidRPr="00B46478" w:rsidRDefault="00E0190A" w:rsidP="001D0026">
      <w:pPr>
        <w:pStyle w:val="Heading3"/>
        <w:widowControl w:val="0"/>
      </w:pPr>
      <w:r w:rsidRPr="00B46478">
        <w:t xml:space="preserve">Gaucher </w:t>
      </w:r>
      <w:r w:rsidR="001D0026" w:rsidRPr="00B46478">
        <w:t>Disease Type 1 (</w:t>
      </w:r>
      <w:proofErr w:type="spellStart"/>
      <w:r w:rsidR="00FC6F63">
        <w:t>m</w:t>
      </w:r>
      <w:r w:rsidR="00FC6F63" w:rsidRPr="00B46478">
        <w:t>iglustat</w:t>
      </w:r>
      <w:proofErr w:type="spellEnd"/>
      <w:r w:rsidR="00FC6F63" w:rsidRPr="00B46478">
        <w:t xml:space="preserve"> </w:t>
      </w:r>
      <w:r w:rsidR="001D0026" w:rsidRPr="00B46478">
        <w:t>(</w:t>
      </w:r>
      <w:r w:rsidR="00FC6F63">
        <w:t>g</w:t>
      </w:r>
      <w:r w:rsidR="00FC6F63" w:rsidRPr="00B46478">
        <w:t>eneric</w:t>
      </w:r>
      <w:r w:rsidR="001D0026" w:rsidRPr="00B46478">
        <w:t>)/</w:t>
      </w:r>
      <w:proofErr w:type="spellStart"/>
      <w:r w:rsidRPr="00B46478">
        <w:t>Yargesa</w:t>
      </w:r>
      <w:proofErr w:type="spellEnd"/>
      <w:r w:rsidR="001D0026" w:rsidRPr="00B46478">
        <w:t>/</w:t>
      </w:r>
      <w:proofErr w:type="spellStart"/>
      <w:r w:rsidRPr="00B46478">
        <w:t>Zavesca</w:t>
      </w:r>
      <w:proofErr w:type="spellEnd"/>
      <w:r w:rsidRPr="00B46478">
        <w:t xml:space="preserve"> </w:t>
      </w:r>
      <w:r w:rsidR="001D0026" w:rsidRPr="00B46478">
        <w:t>Only)</w:t>
      </w:r>
    </w:p>
    <w:p w14:paraId="53EC18CF" w14:textId="77777777" w:rsidR="00E0190A" w:rsidRPr="00B46478" w:rsidRDefault="00E0190A" w:rsidP="001D0026">
      <w:pPr>
        <w:pStyle w:val="BodyText"/>
        <w:keepNext/>
        <w:keepLines/>
        <w:widowControl w:val="0"/>
      </w:pPr>
      <w:r w:rsidRPr="00B46478">
        <w:t xml:space="preserve">Authorization of 12 months may be granted for continued treatment in members requesting reauthorization for Gaucher disease type 1 when </w:t>
      </w:r>
      <w:proofErr w:type="gramStart"/>
      <w:r w:rsidRPr="00B46478">
        <w:t>all of</w:t>
      </w:r>
      <w:proofErr w:type="gramEnd"/>
      <w:r w:rsidRPr="00B46478">
        <w:t xml:space="preserve"> the following criteria are met:</w:t>
      </w:r>
    </w:p>
    <w:p w14:paraId="2380A726" w14:textId="03843EED" w:rsidR="00E0190A" w:rsidRPr="00B46478" w:rsidRDefault="00E0190A" w:rsidP="006A1C59">
      <w:pPr>
        <w:pStyle w:val="ListParagraph"/>
        <w:numPr>
          <w:ilvl w:val="0"/>
          <w:numId w:val="44"/>
        </w:numPr>
        <w:contextualSpacing w:val="0"/>
      </w:pPr>
      <w:r w:rsidRPr="00B46478">
        <w:t>The diagnosis of Gaucher disease was confirmed by enzyme assay demonstrating a deficiency of beta-glucocerebrosidase (glucosidase) enzyme activity or by genetic testing.</w:t>
      </w:r>
    </w:p>
    <w:p w14:paraId="19993081" w14:textId="0F366F69" w:rsidR="00E0190A" w:rsidRPr="00B46478" w:rsidRDefault="00E0190A" w:rsidP="006A1C59">
      <w:pPr>
        <w:pStyle w:val="ListParagraph"/>
        <w:numPr>
          <w:ilvl w:val="0"/>
          <w:numId w:val="44"/>
        </w:numPr>
        <w:spacing w:after="0"/>
        <w:contextualSpacing w:val="0"/>
      </w:pPr>
      <w:r w:rsidRPr="00B46478">
        <w:t>Member is not experiencing an inadequate response or any intolerable adverse events from therapy.</w:t>
      </w:r>
    </w:p>
    <w:p w14:paraId="38055A64" w14:textId="752E14C1" w:rsidR="00E0190A" w:rsidRPr="00B46478" w:rsidRDefault="00E0190A" w:rsidP="006A1C59">
      <w:pPr>
        <w:pStyle w:val="Heading3"/>
        <w:keepNext w:val="0"/>
        <w:keepLines w:val="0"/>
        <w:widowControl w:val="0"/>
      </w:pPr>
      <w:r w:rsidRPr="00B46478">
        <w:t>Niemann</w:t>
      </w:r>
      <w:r w:rsidR="001D0026" w:rsidRPr="00B46478">
        <w:t>-</w:t>
      </w:r>
      <w:r w:rsidRPr="00B46478">
        <w:t xml:space="preserve">Pick </w:t>
      </w:r>
      <w:r w:rsidR="001D0026" w:rsidRPr="00B46478">
        <w:t xml:space="preserve">Disease, Type </w:t>
      </w:r>
      <w:r w:rsidRPr="00B46478">
        <w:t xml:space="preserve">C </w:t>
      </w:r>
      <w:r w:rsidR="001D0026" w:rsidRPr="00B46478">
        <w:t>(</w:t>
      </w:r>
      <w:proofErr w:type="spellStart"/>
      <w:r w:rsidR="00FC6F63">
        <w:t>m</w:t>
      </w:r>
      <w:r w:rsidR="00FC6F63" w:rsidRPr="00B46478">
        <w:t>iglustat</w:t>
      </w:r>
      <w:proofErr w:type="spellEnd"/>
      <w:r w:rsidR="00FC6F63" w:rsidRPr="00B46478">
        <w:t xml:space="preserve"> </w:t>
      </w:r>
      <w:r w:rsidR="001D0026" w:rsidRPr="00B46478">
        <w:t>(</w:t>
      </w:r>
      <w:r w:rsidR="001D27FB">
        <w:t>g</w:t>
      </w:r>
      <w:r w:rsidR="001D27FB" w:rsidRPr="00B46478">
        <w:t>eneric</w:t>
      </w:r>
      <w:r w:rsidR="001D0026" w:rsidRPr="00B46478">
        <w:t>)/</w:t>
      </w:r>
      <w:proofErr w:type="spellStart"/>
      <w:r w:rsidRPr="00B46478">
        <w:t>Yargesa</w:t>
      </w:r>
      <w:proofErr w:type="spellEnd"/>
      <w:r w:rsidR="001D0026" w:rsidRPr="00B46478">
        <w:t>/</w:t>
      </w:r>
      <w:proofErr w:type="spellStart"/>
      <w:r w:rsidRPr="00B46478">
        <w:t>Zavesca</w:t>
      </w:r>
      <w:proofErr w:type="spellEnd"/>
      <w:r w:rsidRPr="00B46478">
        <w:t xml:space="preserve"> </w:t>
      </w:r>
      <w:r w:rsidR="001D27FB">
        <w:t>o</w:t>
      </w:r>
      <w:r w:rsidR="001D27FB" w:rsidRPr="00B46478">
        <w:t>nly</w:t>
      </w:r>
      <w:r w:rsidR="001D0026" w:rsidRPr="00B46478">
        <w:t>)</w:t>
      </w:r>
    </w:p>
    <w:p w14:paraId="0EF74463" w14:textId="365CD3DB" w:rsidR="006A1C59" w:rsidRPr="00B46478" w:rsidRDefault="00E0190A" w:rsidP="006A1C59">
      <w:pPr>
        <w:pStyle w:val="BodyText"/>
        <w:widowControl w:val="0"/>
      </w:pPr>
      <w:r w:rsidRPr="00B46478">
        <w:t>Authorization of 12 months may be granted for continued treatment in members requesting</w:t>
      </w:r>
    </w:p>
    <w:p w14:paraId="40698432" w14:textId="42B8AD09" w:rsidR="00E0190A" w:rsidRPr="00B46478" w:rsidRDefault="00E0190A" w:rsidP="006A1C59">
      <w:pPr>
        <w:pStyle w:val="BodyText"/>
        <w:widowControl w:val="0"/>
      </w:pPr>
      <w:r w:rsidRPr="00B46478">
        <w:t xml:space="preserve">reauthorization for Niemann-Pick disease, type C when </w:t>
      </w:r>
      <w:proofErr w:type="gramStart"/>
      <w:r w:rsidRPr="00B46478">
        <w:t>all of</w:t>
      </w:r>
      <w:proofErr w:type="gramEnd"/>
      <w:r w:rsidRPr="00B46478">
        <w:t xml:space="preserve"> the following criteria are met:</w:t>
      </w:r>
    </w:p>
    <w:p w14:paraId="2B015226" w14:textId="22218E42" w:rsidR="00E0190A" w:rsidRPr="00B46478" w:rsidRDefault="00E0190A" w:rsidP="005354F0">
      <w:pPr>
        <w:pStyle w:val="TableList"/>
      </w:pPr>
      <w:r w:rsidRPr="00B46478">
        <w:t>Member meets the criteria for initial approval.</w:t>
      </w:r>
    </w:p>
    <w:p w14:paraId="6CB9496E" w14:textId="223841B1" w:rsidR="00E0190A" w:rsidRPr="00B46478" w:rsidRDefault="00E0190A" w:rsidP="005354F0">
      <w:pPr>
        <w:pStyle w:val="TableList"/>
      </w:pPr>
      <w:r w:rsidRPr="00B46478">
        <w:t>Member is not experiencing an inadequate response or any intolerable adverse events from therapy.</w:t>
      </w:r>
    </w:p>
    <w:p w14:paraId="6FD93052" w14:textId="28C57DB6" w:rsidR="00E0190A" w:rsidRPr="00B46478" w:rsidRDefault="00E0190A" w:rsidP="00C319F5">
      <w:pPr>
        <w:pStyle w:val="Heading3"/>
      </w:pPr>
      <w:r w:rsidRPr="00B46478">
        <w:lastRenderedPageBreak/>
        <w:t>Late</w:t>
      </w:r>
      <w:r w:rsidR="001D0026" w:rsidRPr="00B46478">
        <w:t>-</w:t>
      </w:r>
      <w:r w:rsidR="001D27FB">
        <w:t>o</w:t>
      </w:r>
      <w:r w:rsidR="001D27FB" w:rsidRPr="00B46478">
        <w:t xml:space="preserve">nset </w:t>
      </w:r>
      <w:proofErr w:type="spellStart"/>
      <w:r w:rsidRPr="00B46478">
        <w:t>Pompe</w:t>
      </w:r>
      <w:proofErr w:type="spellEnd"/>
      <w:r w:rsidRPr="00B46478">
        <w:t xml:space="preserve"> </w:t>
      </w:r>
      <w:r w:rsidR="001D27FB">
        <w:t>d</w:t>
      </w:r>
      <w:r w:rsidR="001D27FB" w:rsidRPr="00B46478">
        <w:t xml:space="preserve">isease </w:t>
      </w:r>
      <w:r w:rsidR="001D0026" w:rsidRPr="00B46478">
        <w:t>(</w:t>
      </w:r>
      <w:proofErr w:type="spellStart"/>
      <w:r w:rsidRPr="00B46478">
        <w:t>Opfolda</w:t>
      </w:r>
      <w:proofErr w:type="spellEnd"/>
      <w:r w:rsidRPr="00B46478">
        <w:t xml:space="preserve"> </w:t>
      </w:r>
      <w:r w:rsidR="001D27FB">
        <w:t>o</w:t>
      </w:r>
      <w:r w:rsidR="001D27FB" w:rsidRPr="00B46478">
        <w:t>nly</w:t>
      </w:r>
      <w:r w:rsidR="001D0026" w:rsidRPr="00B46478">
        <w:t>)</w:t>
      </w:r>
    </w:p>
    <w:p w14:paraId="36C3B0BF" w14:textId="633CE190" w:rsidR="001F1376" w:rsidRDefault="00E0190A" w:rsidP="00C319F5">
      <w:pPr>
        <w:pStyle w:val="BodyText"/>
      </w:pPr>
      <w:r w:rsidRPr="00B46478">
        <w:t xml:space="preserve">Authorization of 12 months may be granted for continued treatment in members requesting reauthorization for late-onset </w:t>
      </w:r>
      <w:proofErr w:type="spellStart"/>
      <w:r w:rsidRPr="00B46478">
        <w:t>Pompe</w:t>
      </w:r>
      <w:proofErr w:type="spellEnd"/>
      <w:r w:rsidRPr="00B46478">
        <w:t xml:space="preserve"> disease </w:t>
      </w:r>
      <w:r w:rsidR="001B604A" w:rsidRPr="001B604A">
        <w:t>when both of the following criteria are met:</w:t>
      </w:r>
    </w:p>
    <w:p w14:paraId="32C8905D" w14:textId="4E107333" w:rsidR="00A501AC" w:rsidRPr="00A56151" w:rsidRDefault="001F1376" w:rsidP="005354F0">
      <w:pPr>
        <w:pStyle w:val="TableList"/>
      </w:pPr>
      <w:r w:rsidRPr="00A56151">
        <w:t xml:space="preserve">Member is </w:t>
      </w:r>
      <w:r w:rsidR="00E0190A" w:rsidRPr="00A56151">
        <w:t>responding to therapy (e.g., improvement, stabilization, or slowing of disease progression for motor function, walking capacity, respiratory function, or muscle strength)</w:t>
      </w:r>
      <w:r w:rsidR="00A501AC" w:rsidRPr="00A56151">
        <w:t>.</w:t>
      </w:r>
    </w:p>
    <w:p w14:paraId="1FC50D5C" w14:textId="5B8CC9EE" w:rsidR="00063567" w:rsidRPr="00A56151" w:rsidRDefault="00140419" w:rsidP="005354F0">
      <w:pPr>
        <w:pStyle w:val="TableList"/>
      </w:pPr>
      <w:r w:rsidRPr="00A56151">
        <w:t xml:space="preserve">The requested medication will be taken in combination with </w:t>
      </w:r>
      <w:proofErr w:type="spellStart"/>
      <w:r w:rsidRPr="00A56151">
        <w:t>Pombiliti</w:t>
      </w:r>
      <w:proofErr w:type="spellEnd"/>
      <w:r w:rsidRPr="00A56151">
        <w:t xml:space="preserve"> (</w:t>
      </w:r>
      <w:proofErr w:type="spellStart"/>
      <w:r w:rsidRPr="00A56151">
        <w:t>cipaglucosidase</w:t>
      </w:r>
      <w:proofErr w:type="spellEnd"/>
      <w:r w:rsidRPr="00A56151">
        <w:t xml:space="preserve"> alfa-</w:t>
      </w:r>
      <w:proofErr w:type="spellStart"/>
      <w:r w:rsidRPr="00A56151">
        <w:t>atga</w:t>
      </w:r>
      <w:proofErr w:type="spellEnd"/>
      <w:r w:rsidRPr="00A56151">
        <w:t>).</w:t>
      </w:r>
    </w:p>
    <w:p w14:paraId="17409917" w14:textId="67ABE420" w:rsidR="00C96B3F" w:rsidRPr="00B46478" w:rsidRDefault="00C96B3F" w:rsidP="008D1B34">
      <w:pPr>
        <w:pStyle w:val="Heading2"/>
      </w:pPr>
      <w:bookmarkStart w:id="3" w:name="S2.2"/>
      <w:bookmarkStart w:id="4" w:name="section-2.2"/>
      <w:bookmarkStart w:id="5" w:name="section-2.2.1"/>
      <w:bookmarkStart w:id="6" w:name="section-2.2.2"/>
      <w:bookmarkEnd w:id="3"/>
      <w:bookmarkEnd w:id="4"/>
      <w:bookmarkEnd w:id="5"/>
      <w:bookmarkEnd w:id="6"/>
      <w:r w:rsidRPr="00B46478">
        <w:t>References</w:t>
      </w:r>
    </w:p>
    <w:p w14:paraId="2E78CABD" w14:textId="31A64F58" w:rsidR="00436B3A" w:rsidRPr="00B46478" w:rsidRDefault="00436B3A" w:rsidP="00B46478">
      <w:pPr>
        <w:pStyle w:val="ReferenceOrdered"/>
        <w:keepNext w:val="0"/>
        <w:keepLines w:val="0"/>
        <w:widowControl w:val="0"/>
      </w:pPr>
      <w:proofErr w:type="spellStart"/>
      <w:r w:rsidRPr="00B46478">
        <w:t>Zavesca</w:t>
      </w:r>
      <w:proofErr w:type="spellEnd"/>
      <w:r w:rsidRPr="00B46478">
        <w:t xml:space="preserve"> [package insert]. Titusville, NJ: Actelion Pharmaceuticals US, Inc.; August 2022.</w:t>
      </w:r>
    </w:p>
    <w:p w14:paraId="6B068F52" w14:textId="543EAA60" w:rsidR="00436B3A" w:rsidRPr="00B46478" w:rsidRDefault="00436B3A" w:rsidP="00B46478">
      <w:pPr>
        <w:pStyle w:val="ReferenceOrdered"/>
        <w:keepNext w:val="0"/>
        <w:keepLines w:val="0"/>
        <w:widowControl w:val="0"/>
      </w:pPr>
      <w:r w:rsidRPr="00B46478">
        <w:t xml:space="preserve">miglustat [package insert]. Titusville, NJ: </w:t>
      </w:r>
      <w:proofErr w:type="spellStart"/>
      <w:r w:rsidRPr="00B46478">
        <w:t>CoTherix</w:t>
      </w:r>
      <w:proofErr w:type="spellEnd"/>
      <w:r w:rsidRPr="00B46478">
        <w:t xml:space="preserve">, Inc.; </w:t>
      </w:r>
      <w:proofErr w:type="spellStart"/>
      <w:r w:rsidR="006D594D">
        <w:t>Decmeber</w:t>
      </w:r>
      <w:proofErr w:type="spellEnd"/>
      <w:r w:rsidR="006D594D" w:rsidRPr="00B46478">
        <w:t xml:space="preserve"> </w:t>
      </w:r>
      <w:r w:rsidRPr="00B46478">
        <w:t>2022.</w:t>
      </w:r>
    </w:p>
    <w:p w14:paraId="75B534BF" w14:textId="0B17C71D" w:rsidR="00436B3A" w:rsidRPr="00B46478" w:rsidRDefault="00436B3A" w:rsidP="00B46478">
      <w:pPr>
        <w:pStyle w:val="ReferenceOrdered"/>
        <w:keepNext w:val="0"/>
        <w:keepLines w:val="0"/>
        <w:widowControl w:val="0"/>
      </w:pPr>
      <w:r w:rsidRPr="00B46478">
        <w:t xml:space="preserve">Lexicomp Online, Lexi-Drugs Online. Waltham, MA: UpToDate, Inc.; Updated November </w:t>
      </w:r>
      <w:r w:rsidR="00FC05C0">
        <w:t>2</w:t>
      </w:r>
      <w:r w:rsidR="000004AE">
        <w:t xml:space="preserve">, </w:t>
      </w:r>
      <w:r w:rsidR="00F8572D">
        <w:t>2024</w:t>
      </w:r>
      <w:r w:rsidRPr="00B46478">
        <w:t>.</w:t>
      </w:r>
      <w:r w:rsidR="00771C7F">
        <w:t xml:space="preserve"> </w:t>
      </w:r>
      <w:r w:rsidRPr="00B46478">
        <w:t xml:space="preserve">https://online.lexi.com. Accessed December </w:t>
      </w:r>
      <w:r w:rsidR="00F8572D">
        <w:t>11</w:t>
      </w:r>
      <w:r w:rsidR="000004AE">
        <w:t xml:space="preserve">, </w:t>
      </w:r>
      <w:r w:rsidR="00F8572D">
        <w:t>2024</w:t>
      </w:r>
      <w:r w:rsidRPr="00B46478">
        <w:t>.</w:t>
      </w:r>
    </w:p>
    <w:p w14:paraId="43B57C3F" w14:textId="24CAD406" w:rsidR="00436B3A" w:rsidRPr="00B46478" w:rsidRDefault="00436B3A" w:rsidP="00B46478">
      <w:pPr>
        <w:pStyle w:val="ReferenceOrdered"/>
        <w:keepNext w:val="0"/>
        <w:keepLines w:val="0"/>
        <w:widowControl w:val="0"/>
      </w:pPr>
      <w:r w:rsidRPr="00B46478">
        <w:t>National Organization for Rare Disorders. (2003). NORD guide to rare disorders. Philadelphia: Lippincott Williams &amp; Wilkins.</w:t>
      </w:r>
    </w:p>
    <w:p w14:paraId="246C5647" w14:textId="0F5166D6" w:rsidR="00436B3A" w:rsidRPr="00B46478" w:rsidRDefault="00436B3A" w:rsidP="00B46478">
      <w:pPr>
        <w:pStyle w:val="ReferenceOrdered"/>
        <w:keepNext w:val="0"/>
        <w:keepLines w:val="0"/>
        <w:widowControl w:val="0"/>
      </w:pPr>
      <w:proofErr w:type="spellStart"/>
      <w:r w:rsidRPr="00B46478">
        <w:t>Opfolda</w:t>
      </w:r>
      <w:proofErr w:type="spellEnd"/>
      <w:r w:rsidRPr="00B46478">
        <w:t xml:space="preserve"> [package insert]. Philadelphia, PA: Amicus Therapeutics US, LLC; </w:t>
      </w:r>
      <w:r w:rsidR="00F8572D">
        <w:t>July</w:t>
      </w:r>
      <w:r w:rsidR="00F8572D" w:rsidRPr="00B46478">
        <w:t xml:space="preserve"> 202</w:t>
      </w:r>
      <w:r w:rsidR="00F8572D">
        <w:t>4.</w:t>
      </w:r>
    </w:p>
    <w:p w14:paraId="47E1A10C" w14:textId="22294B0E" w:rsidR="00C44990" w:rsidRPr="005354F0" w:rsidRDefault="00436B3A" w:rsidP="005354F0">
      <w:pPr>
        <w:pStyle w:val="ReferenceOrdered"/>
        <w:keepNext w:val="0"/>
        <w:keepLines w:val="0"/>
        <w:widowControl w:val="0"/>
      </w:pPr>
      <w:proofErr w:type="spellStart"/>
      <w:r>
        <w:t>Yargesa</w:t>
      </w:r>
      <w:proofErr w:type="spellEnd"/>
      <w:r>
        <w:t xml:space="preserve"> [package insert]. Parsippany, NJ: Edenbridge Pharmaceuticals, LLC; </w:t>
      </w:r>
      <w:r w:rsidR="2E0928A7">
        <w:t>October</w:t>
      </w:r>
      <w:r w:rsidR="00F8572D">
        <w:t xml:space="preserve"> 2023</w:t>
      </w:r>
      <w:r>
        <w:t>.</w:t>
      </w:r>
    </w:p>
    <w:sectPr w:rsidR="00C44990" w:rsidRPr="005354F0" w:rsidSect="00AB0E3F">
      <w:headerReference w:type="first" r:id="rId15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3F8C7" w14:textId="77777777" w:rsidR="007A66B0" w:rsidRDefault="007A66B0">
      <w:r>
        <w:separator/>
      </w:r>
    </w:p>
  </w:endnote>
  <w:endnote w:type="continuationSeparator" w:id="0">
    <w:p w14:paraId="4526CC1F" w14:textId="77777777" w:rsidR="007A66B0" w:rsidRDefault="007A66B0">
      <w:r>
        <w:continuationSeparator/>
      </w:r>
    </w:p>
  </w:endnote>
  <w:endnote w:type="continuationNotice" w:id="1">
    <w:p w14:paraId="2B9A7A2A" w14:textId="77777777" w:rsidR="007A66B0" w:rsidRDefault="007A66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2B3DA3A3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9B6767" w:rsidRPr="009B6767">
      <w:rPr>
        <w:rFonts w:cs="Arial"/>
        <w:noProof/>
        <w:sz w:val="16"/>
        <w:szCs w:val="16"/>
      </w:rPr>
      <w:t>miglustat</w:t>
    </w:r>
    <w:r w:rsidR="009B6767">
      <w:rPr>
        <w:rFonts w:cs="Arial"/>
        <w:noProof/>
        <w:snapToGrid w:val="0"/>
        <w:color w:val="000000"/>
        <w:sz w:val="16"/>
        <w:szCs w:val="16"/>
      </w:rPr>
      <w:t xml:space="preserve"> products SGM</w:t>
    </w:r>
    <w:r w:rsidR="009B6767" w:rsidRPr="009B6767">
      <w:rPr>
        <w:rFonts w:cs="Arial"/>
        <w:noProof/>
        <w:sz w:val="16"/>
        <w:szCs w:val="16"/>
      </w:rPr>
      <w:t xml:space="preserve"> 2098-A</w:t>
    </w:r>
    <w:r w:rsidR="009B6767">
      <w:rPr>
        <w:rFonts w:cs="Arial"/>
        <w:noProof/>
        <w:snapToGrid w:val="0"/>
        <w:color w:val="000000"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 xml:space="preserve">© </w:t>
    </w:r>
    <w:r w:rsidR="00F8572D" w:rsidRPr="00EC47B6">
      <w:rPr>
        <w:rFonts w:cs="Arial"/>
        <w:snapToGrid w:val="0"/>
        <w:color w:val="000000"/>
        <w:sz w:val="16"/>
      </w:rPr>
      <w:t>202</w:t>
    </w:r>
    <w:r w:rsidR="00F8572D">
      <w:rPr>
        <w:rFonts w:cs="Arial"/>
        <w:snapToGrid w:val="0"/>
        <w:color w:val="000000"/>
        <w:sz w:val="16"/>
      </w:rPr>
      <w:t>5</w:t>
    </w:r>
    <w:r w:rsidR="00613B2B">
      <w:rPr>
        <w:rFonts w:cs="Arial"/>
        <w:snapToGrid w:val="0"/>
        <w:color w:val="000000"/>
        <w:sz w:val="16"/>
      </w:rPr>
      <w:t xml:space="preserve"> </w:t>
    </w:r>
    <w:r w:rsidRPr="00EC47B6">
      <w:rPr>
        <w:rFonts w:cs="Arial"/>
        <w:snapToGrid w:val="0"/>
        <w:color w:val="000000"/>
        <w:sz w:val="16"/>
      </w:rPr>
      <w:t>CVS Caremark. All rights reserved.</w:t>
    </w:r>
  </w:p>
  <w:p w14:paraId="61CF5924" w14:textId="1A443DBD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28E13E8C" w:rsidR="00F75C81" w:rsidRPr="00AA1E6A" w:rsidRDefault="00C36B72" w:rsidP="005354F0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77B6AB83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9B6767" w:rsidRPr="009B6767">
      <w:rPr>
        <w:rFonts w:cs="Arial"/>
        <w:noProof/>
        <w:sz w:val="16"/>
        <w:szCs w:val="16"/>
      </w:rPr>
      <w:t>miglustat</w:t>
    </w:r>
    <w:r w:rsidR="009B6767">
      <w:rPr>
        <w:rFonts w:cs="Arial"/>
        <w:noProof/>
        <w:snapToGrid w:val="0"/>
        <w:color w:val="000000"/>
        <w:sz w:val="16"/>
        <w:szCs w:val="16"/>
      </w:rPr>
      <w:t xml:space="preserve"> products SGM</w:t>
    </w:r>
    <w:r w:rsidR="009B6767" w:rsidRPr="009B6767">
      <w:rPr>
        <w:rFonts w:cs="Arial"/>
        <w:noProof/>
        <w:sz w:val="16"/>
        <w:szCs w:val="16"/>
      </w:rPr>
      <w:t xml:space="preserve"> 2098-A</w:t>
    </w:r>
    <w:r w:rsidR="009B6767">
      <w:rPr>
        <w:rFonts w:cs="Arial"/>
        <w:noProof/>
        <w:snapToGrid w:val="0"/>
        <w:color w:val="000000"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 xml:space="preserve">© </w:t>
    </w:r>
    <w:r w:rsidR="00F8572D" w:rsidRPr="00EC47B6">
      <w:rPr>
        <w:rFonts w:cs="Arial"/>
        <w:snapToGrid w:val="0"/>
        <w:color w:val="000000"/>
        <w:sz w:val="16"/>
      </w:rPr>
      <w:t>202</w:t>
    </w:r>
    <w:r w:rsidR="00F8572D">
      <w:rPr>
        <w:rFonts w:cs="Arial"/>
        <w:snapToGrid w:val="0"/>
        <w:color w:val="000000"/>
        <w:sz w:val="16"/>
      </w:rPr>
      <w:t>5</w:t>
    </w:r>
    <w:r w:rsidR="00FA72C4">
      <w:rPr>
        <w:rFonts w:cs="Arial"/>
        <w:snapToGrid w:val="0"/>
        <w:color w:val="000000"/>
        <w:sz w:val="16"/>
      </w:rPr>
      <w:t xml:space="preserve"> </w:t>
    </w:r>
    <w:r w:rsidRPr="00EC47B6">
      <w:rPr>
        <w:rFonts w:cs="Arial"/>
        <w:snapToGrid w:val="0"/>
        <w:color w:val="000000"/>
        <w:sz w:val="16"/>
      </w:rPr>
      <w:t>CVS Caremark. All rights reserved.</w:t>
    </w:r>
  </w:p>
  <w:p w14:paraId="39BFE579" w14:textId="245E1FAE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1C9E2331" w:rsidR="00ED04EC" w:rsidRPr="00F50D98" w:rsidRDefault="00F50D98" w:rsidP="005354F0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9F97D" w14:textId="77777777" w:rsidR="007A66B0" w:rsidRDefault="007A66B0">
      <w:r>
        <w:separator/>
      </w:r>
    </w:p>
  </w:footnote>
  <w:footnote w:type="continuationSeparator" w:id="0">
    <w:p w14:paraId="7F5C2D2C" w14:textId="77777777" w:rsidR="007A66B0" w:rsidRDefault="007A66B0">
      <w:r>
        <w:continuationSeparator/>
      </w:r>
    </w:p>
  </w:footnote>
  <w:footnote w:type="continuationNotice" w:id="1">
    <w:p w14:paraId="7AF87D8F" w14:textId="77777777" w:rsidR="007A66B0" w:rsidRDefault="007A66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1D0026" w:rsidRDefault="00ED04EC" w:rsidP="00B46478">
          <w:pPr>
            <w:pStyle w:val="RefTableData"/>
          </w:pPr>
          <w:r w:rsidRPr="001D0026"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2F968F1F" w:rsidR="00ED04EC" w:rsidRPr="001D0026" w:rsidRDefault="001D0026" w:rsidP="00B46478">
          <w:pPr>
            <w:pStyle w:val="RefTableData"/>
          </w:pPr>
          <w:r w:rsidRPr="00774962">
            <w:t>2098-A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1D0026" w:rsidRPr="00ED04EC" w14:paraId="408B2BDB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39B3C4A1" w14:textId="77777777" w:rsidR="001D0026" w:rsidRPr="001D0026" w:rsidRDefault="001D0026" w:rsidP="00B46478">
          <w:pPr>
            <w:pStyle w:val="RefTableData"/>
          </w:pPr>
          <w:r w:rsidRPr="001D0026">
            <w:t>Reference number(s)</w:t>
          </w:r>
        </w:p>
      </w:tc>
    </w:tr>
    <w:tr w:rsidR="001D0026" w:rsidRPr="00ED04EC" w14:paraId="41E84A6F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361E4275" w14:textId="4B5D2A19" w:rsidR="001D0026" w:rsidRPr="001D0026" w:rsidRDefault="001D0026" w:rsidP="00B46478">
          <w:pPr>
            <w:pStyle w:val="RefTableData"/>
            <w:rPr>
              <w:rFonts w:ascii="Arial" w:hAnsi="Arial"/>
            </w:rPr>
          </w:pPr>
          <w:r w:rsidRPr="001D0026">
            <w:t>2098-A</w:t>
          </w:r>
        </w:p>
      </w:tc>
    </w:tr>
  </w:tbl>
  <w:p w14:paraId="077C6C8E" w14:textId="77777777" w:rsidR="001D0026" w:rsidRPr="000F5383" w:rsidRDefault="001D0026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C56715"/>
    <w:multiLevelType w:val="hybridMultilevel"/>
    <w:tmpl w:val="8CF8906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F36F3A"/>
    <w:multiLevelType w:val="hybridMultilevel"/>
    <w:tmpl w:val="8CF89066"/>
    <w:lvl w:ilvl="0" w:tplc="08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300C31"/>
    <w:multiLevelType w:val="hybridMultilevel"/>
    <w:tmpl w:val="C71C2C8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0855F0A"/>
    <w:multiLevelType w:val="hybridMultilevel"/>
    <w:tmpl w:val="8CF8906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165F5EED"/>
    <w:multiLevelType w:val="hybridMultilevel"/>
    <w:tmpl w:val="44D638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9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31D4CD3"/>
    <w:multiLevelType w:val="hybridMultilevel"/>
    <w:tmpl w:val="FE12B72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92C327A"/>
    <w:multiLevelType w:val="hybridMultilevel"/>
    <w:tmpl w:val="DC8099DE"/>
    <w:lvl w:ilvl="0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D6C3A40"/>
    <w:multiLevelType w:val="hybridMultilevel"/>
    <w:tmpl w:val="8CF8906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4C1154"/>
    <w:multiLevelType w:val="hybridMultilevel"/>
    <w:tmpl w:val="98FEB1DC"/>
    <w:lvl w:ilvl="0" w:tplc="B3E6F61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73505F"/>
    <w:multiLevelType w:val="hybridMultilevel"/>
    <w:tmpl w:val="3F7C0BD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F173A3"/>
    <w:multiLevelType w:val="hybridMultilevel"/>
    <w:tmpl w:val="E76002A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7C70E06"/>
    <w:multiLevelType w:val="hybridMultilevel"/>
    <w:tmpl w:val="BA921CC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D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BD345D"/>
    <w:multiLevelType w:val="hybridMultilevel"/>
    <w:tmpl w:val="29504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D23528"/>
    <w:multiLevelType w:val="hybridMultilevel"/>
    <w:tmpl w:val="8CF8906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9E6B76"/>
    <w:multiLevelType w:val="hybridMultilevel"/>
    <w:tmpl w:val="CC94FFC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7F5ED3"/>
    <w:multiLevelType w:val="hybridMultilevel"/>
    <w:tmpl w:val="21DC4CE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4464D4"/>
    <w:multiLevelType w:val="hybridMultilevel"/>
    <w:tmpl w:val="BFC0BE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30110E"/>
    <w:multiLevelType w:val="hybridMultilevel"/>
    <w:tmpl w:val="F398AA88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58326B1"/>
    <w:multiLevelType w:val="hybridMultilevel"/>
    <w:tmpl w:val="429CACD6"/>
    <w:lvl w:ilvl="0" w:tplc="37BC94B2">
      <w:start w:val="1"/>
      <w:numFmt w:val="decimal"/>
      <w:pStyle w:val="ReferenceOrdered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312D44"/>
    <w:multiLevelType w:val="hybridMultilevel"/>
    <w:tmpl w:val="789EC4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AC55EB4"/>
    <w:multiLevelType w:val="hybridMultilevel"/>
    <w:tmpl w:val="D3667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9D5D56"/>
    <w:multiLevelType w:val="hybridMultilevel"/>
    <w:tmpl w:val="29B45AD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213B9F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4"/>
  </w:num>
  <w:num w:numId="2" w16cid:durableId="606935877">
    <w:abstractNumId w:val="39"/>
  </w:num>
  <w:num w:numId="3" w16cid:durableId="611589570">
    <w:abstractNumId w:val="30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6"/>
  </w:num>
  <w:num w:numId="15" w16cid:durableId="616722934">
    <w:abstractNumId w:val="12"/>
  </w:num>
  <w:num w:numId="16" w16cid:durableId="898320195">
    <w:abstractNumId w:val="26"/>
  </w:num>
  <w:num w:numId="17" w16cid:durableId="2128498676">
    <w:abstractNumId w:val="44"/>
  </w:num>
  <w:num w:numId="18" w16cid:durableId="299724409">
    <w:abstractNumId w:val="33"/>
  </w:num>
  <w:num w:numId="19" w16cid:durableId="214585573">
    <w:abstractNumId w:val="18"/>
  </w:num>
  <w:num w:numId="20" w16cid:durableId="1289816170">
    <w:abstractNumId w:val="19"/>
  </w:num>
  <w:num w:numId="21" w16cid:durableId="1066490929">
    <w:abstractNumId w:val="45"/>
  </w:num>
  <w:num w:numId="22" w16cid:durableId="1472481103">
    <w:abstractNumId w:val="36"/>
  </w:num>
  <w:num w:numId="23" w16cid:durableId="1997420403">
    <w:abstractNumId w:val="40"/>
  </w:num>
  <w:num w:numId="24" w16cid:durableId="33312838">
    <w:abstractNumId w:val="34"/>
  </w:num>
  <w:num w:numId="25" w16cid:durableId="507404939">
    <w:abstractNumId w:val="24"/>
  </w:num>
  <w:num w:numId="26" w16cid:durableId="14885798">
    <w:abstractNumId w:val="23"/>
  </w:num>
  <w:num w:numId="27" w16cid:durableId="1452284868">
    <w:abstractNumId w:val="43"/>
  </w:num>
  <w:num w:numId="28" w16cid:durableId="614991316">
    <w:abstractNumId w:val="32"/>
  </w:num>
  <w:num w:numId="29" w16cid:durableId="1536770644">
    <w:abstractNumId w:val="37"/>
  </w:num>
  <w:num w:numId="30" w16cid:durableId="1127965460">
    <w:abstractNumId w:val="41"/>
  </w:num>
  <w:num w:numId="31" w16cid:durableId="1080058302">
    <w:abstractNumId w:val="13"/>
  </w:num>
  <w:num w:numId="32" w16cid:durableId="1973825220">
    <w:abstractNumId w:val="29"/>
  </w:num>
  <w:num w:numId="33" w16cid:durableId="572394692">
    <w:abstractNumId w:val="42"/>
  </w:num>
  <w:num w:numId="34" w16cid:durableId="1193302349">
    <w:abstractNumId w:val="20"/>
  </w:num>
  <w:num w:numId="35" w16cid:durableId="1645501654">
    <w:abstractNumId w:val="27"/>
  </w:num>
  <w:num w:numId="36" w16cid:durableId="1879586418">
    <w:abstractNumId w:val="17"/>
  </w:num>
  <w:num w:numId="37" w16cid:durableId="532839593">
    <w:abstractNumId w:val="25"/>
  </w:num>
  <w:num w:numId="38" w16cid:durableId="846360405">
    <w:abstractNumId w:val="38"/>
  </w:num>
  <w:num w:numId="39" w16cid:durableId="1082720628">
    <w:abstractNumId w:val="21"/>
  </w:num>
  <w:num w:numId="40" w16cid:durableId="1535146408">
    <w:abstractNumId w:val="11"/>
  </w:num>
  <w:num w:numId="41" w16cid:durableId="516845824">
    <w:abstractNumId w:val="28"/>
  </w:num>
  <w:num w:numId="42" w16cid:durableId="1239948550">
    <w:abstractNumId w:val="15"/>
  </w:num>
  <w:num w:numId="43" w16cid:durableId="1894997390">
    <w:abstractNumId w:val="31"/>
  </w:num>
  <w:num w:numId="44" w16cid:durableId="1669751581">
    <w:abstractNumId w:val="10"/>
  </w:num>
  <w:num w:numId="45" w16cid:durableId="1452746377">
    <w:abstractNumId w:val="22"/>
  </w:num>
  <w:num w:numId="46" w16cid:durableId="1955936261">
    <w:abstractNumId w:val="39"/>
    <w:lvlOverride w:ilvl="0">
      <w:startOverride w:val="1"/>
    </w:lvlOverride>
  </w:num>
  <w:num w:numId="47" w16cid:durableId="1049107646">
    <w:abstractNumId w:val="3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4" w:allStyles="0" w:customStyles="0" w:latentStyles="1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04AE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3A3"/>
    <w:rsid w:val="00013653"/>
    <w:rsid w:val="000141E7"/>
    <w:rsid w:val="00014406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3D07"/>
    <w:rsid w:val="000445C2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3567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327C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10B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E095D"/>
    <w:rsid w:val="000E0C62"/>
    <w:rsid w:val="000E24FA"/>
    <w:rsid w:val="000E270C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419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10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32C5"/>
    <w:rsid w:val="001B459A"/>
    <w:rsid w:val="001B4C8F"/>
    <w:rsid w:val="001B5232"/>
    <w:rsid w:val="001B604A"/>
    <w:rsid w:val="001B6FFC"/>
    <w:rsid w:val="001B72C7"/>
    <w:rsid w:val="001C0192"/>
    <w:rsid w:val="001C1C00"/>
    <w:rsid w:val="001C1C5D"/>
    <w:rsid w:val="001C2409"/>
    <w:rsid w:val="001C3B06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26"/>
    <w:rsid w:val="001D003B"/>
    <w:rsid w:val="001D009C"/>
    <w:rsid w:val="001D0E3C"/>
    <w:rsid w:val="001D164A"/>
    <w:rsid w:val="001D1698"/>
    <w:rsid w:val="001D202E"/>
    <w:rsid w:val="001D2253"/>
    <w:rsid w:val="001D27FB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1376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6C3A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77ADB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8D4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A77A0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130"/>
    <w:rsid w:val="002F5F01"/>
    <w:rsid w:val="002F6300"/>
    <w:rsid w:val="0030016D"/>
    <w:rsid w:val="00301F62"/>
    <w:rsid w:val="00302DBD"/>
    <w:rsid w:val="003030D7"/>
    <w:rsid w:val="00304F20"/>
    <w:rsid w:val="00305223"/>
    <w:rsid w:val="00305346"/>
    <w:rsid w:val="003056F4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14D"/>
    <w:rsid w:val="00315D6F"/>
    <w:rsid w:val="00316DC1"/>
    <w:rsid w:val="00320652"/>
    <w:rsid w:val="003213DE"/>
    <w:rsid w:val="00321446"/>
    <w:rsid w:val="00322EB1"/>
    <w:rsid w:val="00323534"/>
    <w:rsid w:val="003242E2"/>
    <w:rsid w:val="00324C89"/>
    <w:rsid w:val="003254F4"/>
    <w:rsid w:val="00325919"/>
    <w:rsid w:val="003262EA"/>
    <w:rsid w:val="0032667A"/>
    <w:rsid w:val="0032670A"/>
    <w:rsid w:val="00326990"/>
    <w:rsid w:val="00327428"/>
    <w:rsid w:val="00327A14"/>
    <w:rsid w:val="00327C29"/>
    <w:rsid w:val="00330E29"/>
    <w:rsid w:val="003319A7"/>
    <w:rsid w:val="00331C10"/>
    <w:rsid w:val="00332104"/>
    <w:rsid w:val="00332261"/>
    <w:rsid w:val="0033231E"/>
    <w:rsid w:val="00332811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133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3D37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DE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4EC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6B3A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BB1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609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8D6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A7C3F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D752C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0D6"/>
    <w:rsid w:val="004F34FF"/>
    <w:rsid w:val="004F37F3"/>
    <w:rsid w:val="004F3F44"/>
    <w:rsid w:val="004F457C"/>
    <w:rsid w:val="004F46AD"/>
    <w:rsid w:val="004F4C56"/>
    <w:rsid w:val="004F4F14"/>
    <w:rsid w:val="004F5885"/>
    <w:rsid w:val="004F5DCE"/>
    <w:rsid w:val="004F68FF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17FAB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D36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4F0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4D4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21F1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E75A7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156"/>
    <w:rsid w:val="00610F93"/>
    <w:rsid w:val="00610FBE"/>
    <w:rsid w:val="00613278"/>
    <w:rsid w:val="006138E0"/>
    <w:rsid w:val="00613B2B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E24"/>
    <w:rsid w:val="00631F71"/>
    <w:rsid w:val="006328A6"/>
    <w:rsid w:val="0063336C"/>
    <w:rsid w:val="0063344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5F4"/>
    <w:rsid w:val="00637D18"/>
    <w:rsid w:val="006404A7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40D5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1E1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124A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94C"/>
    <w:rsid w:val="00685E5D"/>
    <w:rsid w:val="0068667E"/>
    <w:rsid w:val="00687C15"/>
    <w:rsid w:val="00687D06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C59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594D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BDE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0F2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2A17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069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665C3"/>
    <w:rsid w:val="007704F3"/>
    <w:rsid w:val="007710F2"/>
    <w:rsid w:val="007716E9"/>
    <w:rsid w:val="00771C7F"/>
    <w:rsid w:val="00772204"/>
    <w:rsid w:val="00773060"/>
    <w:rsid w:val="00773513"/>
    <w:rsid w:val="0077365E"/>
    <w:rsid w:val="007741BD"/>
    <w:rsid w:val="0077473F"/>
    <w:rsid w:val="00774962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BA6"/>
    <w:rsid w:val="007A05B6"/>
    <w:rsid w:val="007A141E"/>
    <w:rsid w:val="007A1AA9"/>
    <w:rsid w:val="007A3106"/>
    <w:rsid w:val="007A3667"/>
    <w:rsid w:val="007A56B7"/>
    <w:rsid w:val="007A5CEC"/>
    <w:rsid w:val="007A61F8"/>
    <w:rsid w:val="007A66B0"/>
    <w:rsid w:val="007A7386"/>
    <w:rsid w:val="007A7861"/>
    <w:rsid w:val="007B01B5"/>
    <w:rsid w:val="007B0229"/>
    <w:rsid w:val="007B0BFE"/>
    <w:rsid w:val="007B152B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006A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4607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7F75BA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2CCB"/>
    <w:rsid w:val="008137C4"/>
    <w:rsid w:val="00813D9B"/>
    <w:rsid w:val="008140EC"/>
    <w:rsid w:val="00814A2D"/>
    <w:rsid w:val="00817095"/>
    <w:rsid w:val="008171AA"/>
    <w:rsid w:val="0082041F"/>
    <w:rsid w:val="00820ADD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BDC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4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18F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1C96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96E"/>
    <w:rsid w:val="0094298C"/>
    <w:rsid w:val="0094553A"/>
    <w:rsid w:val="00947FC1"/>
    <w:rsid w:val="00950DFD"/>
    <w:rsid w:val="009517E1"/>
    <w:rsid w:val="00951B46"/>
    <w:rsid w:val="0095239D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552"/>
    <w:rsid w:val="00986BE2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6767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20EB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5AA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6151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30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0E3F"/>
    <w:rsid w:val="00AB1987"/>
    <w:rsid w:val="00AB299D"/>
    <w:rsid w:val="00AB2BF1"/>
    <w:rsid w:val="00AB2ED5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5212"/>
    <w:rsid w:val="00AD5E4E"/>
    <w:rsid w:val="00AD6657"/>
    <w:rsid w:val="00AD6ADD"/>
    <w:rsid w:val="00AD703C"/>
    <w:rsid w:val="00AE10F7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038"/>
    <w:rsid w:val="00B06462"/>
    <w:rsid w:val="00B06E83"/>
    <w:rsid w:val="00B07922"/>
    <w:rsid w:val="00B10E8F"/>
    <w:rsid w:val="00B1104E"/>
    <w:rsid w:val="00B113E6"/>
    <w:rsid w:val="00B12088"/>
    <w:rsid w:val="00B128A7"/>
    <w:rsid w:val="00B12DB6"/>
    <w:rsid w:val="00B137E7"/>
    <w:rsid w:val="00B14A97"/>
    <w:rsid w:val="00B14AEA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C64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6FB"/>
    <w:rsid w:val="00B30C78"/>
    <w:rsid w:val="00B323A4"/>
    <w:rsid w:val="00B33563"/>
    <w:rsid w:val="00B3404B"/>
    <w:rsid w:val="00B34094"/>
    <w:rsid w:val="00B343F3"/>
    <w:rsid w:val="00B34FE4"/>
    <w:rsid w:val="00B36321"/>
    <w:rsid w:val="00B40FC0"/>
    <w:rsid w:val="00B42A6D"/>
    <w:rsid w:val="00B42F63"/>
    <w:rsid w:val="00B43D43"/>
    <w:rsid w:val="00B461DF"/>
    <w:rsid w:val="00B4644D"/>
    <w:rsid w:val="00B46478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0D5"/>
    <w:rsid w:val="00B77B78"/>
    <w:rsid w:val="00B8022C"/>
    <w:rsid w:val="00B80357"/>
    <w:rsid w:val="00B80AC8"/>
    <w:rsid w:val="00B81929"/>
    <w:rsid w:val="00B81FE6"/>
    <w:rsid w:val="00B8206A"/>
    <w:rsid w:val="00B827C8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4ED"/>
    <w:rsid w:val="00BC2848"/>
    <w:rsid w:val="00BC28AB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5CF"/>
    <w:rsid w:val="00BD2A68"/>
    <w:rsid w:val="00BD2B2A"/>
    <w:rsid w:val="00BD2E54"/>
    <w:rsid w:val="00BD5061"/>
    <w:rsid w:val="00BD589A"/>
    <w:rsid w:val="00BD5D53"/>
    <w:rsid w:val="00BD672B"/>
    <w:rsid w:val="00BD6ED4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3E1F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9F5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8BA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3013"/>
    <w:rsid w:val="00C53D02"/>
    <w:rsid w:val="00C54C13"/>
    <w:rsid w:val="00C54D4A"/>
    <w:rsid w:val="00C54DF5"/>
    <w:rsid w:val="00C54E36"/>
    <w:rsid w:val="00C54E64"/>
    <w:rsid w:val="00C55706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6FA"/>
    <w:rsid w:val="00C6390D"/>
    <w:rsid w:val="00C64534"/>
    <w:rsid w:val="00C64859"/>
    <w:rsid w:val="00C65121"/>
    <w:rsid w:val="00C65465"/>
    <w:rsid w:val="00C65502"/>
    <w:rsid w:val="00C675EB"/>
    <w:rsid w:val="00C676EA"/>
    <w:rsid w:val="00C700FE"/>
    <w:rsid w:val="00C72424"/>
    <w:rsid w:val="00C72707"/>
    <w:rsid w:val="00C72AA2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1D8"/>
    <w:rsid w:val="00CA4298"/>
    <w:rsid w:val="00CA43AA"/>
    <w:rsid w:val="00CA59F7"/>
    <w:rsid w:val="00CA6E68"/>
    <w:rsid w:val="00CA7208"/>
    <w:rsid w:val="00CB1279"/>
    <w:rsid w:val="00CB13DF"/>
    <w:rsid w:val="00CB1D93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76FA"/>
    <w:rsid w:val="00CD03D0"/>
    <w:rsid w:val="00CD04D5"/>
    <w:rsid w:val="00CD1B1F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73C"/>
    <w:rsid w:val="00CE4870"/>
    <w:rsid w:val="00CE5EBA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4F0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1D7B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0D18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4A4C"/>
    <w:rsid w:val="00D5579C"/>
    <w:rsid w:val="00D56213"/>
    <w:rsid w:val="00D566EA"/>
    <w:rsid w:val="00D56FC3"/>
    <w:rsid w:val="00D578A8"/>
    <w:rsid w:val="00D6162B"/>
    <w:rsid w:val="00D64807"/>
    <w:rsid w:val="00D64FC6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5F14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359C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90A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79D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278C7"/>
    <w:rsid w:val="00E3095F"/>
    <w:rsid w:val="00E30B43"/>
    <w:rsid w:val="00E31870"/>
    <w:rsid w:val="00E31E60"/>
    <w:rsid w:val="00E31E68"/>
    <w:rsid w:val="00E3262A"/>
    <w:rsid w:val="00E326FF"/>
    <w:rsid w:val="00E327E1"/>
    <w:rsid w:val="00E34E1E"/>
    <w:rsid w:val="00E3574C"/>
    <w:rsid w:val="00E357BB"/>
    <w:rsid w:val="00E3631C"/>
    <w:rsid w:val="00E369D1"/>
    <w:rsid w:val="00E36D92"/>
    <w:rsid w:val="00E36FE9"/>
    <w:rsid w:val="00E376DC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67E8B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004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97876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4ADC"/>
    <w:rsid w:val="00EE50CE"/>
    <w:rsid w:val="00EE5CD7"/>
    <w:rsid w:val="00EE6B14"/>
    <w:rsid w:val="00EE781A"/>
    <w:rsid w:val="00EF025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07FB6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82F"/>
    <w:rsid w:val="00F17E4B"/>
    <w:rsid w:val="00F2074F"/>
    <w:rsid w:val="00F21995"/>
    <w:rsid w:val="00F21B41"/>
    <w:rsid w:val="00F23394"/>
    <w:rsid w:val="00F23678"/>
    <w:rsid w:val="00F23747"/>
    <w:rsid w:val="00F2430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37E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72D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3AEE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2C4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5C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6F63"/>
    <w:rsid w:val="00FC740F"/>
    <w:rsid w:val="00FC7852"/>
    <w:rsid w:val="00FC7867"/>
    <w:rsid w:val="00FC78C0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1FE6"/>
    <w:rsid w:val="00FE2763"/>
    <w:rsid w:val="00FE2E74"/>
    <w:rsid w:val="00FE3153"/>
    <w:rsid w:val="00FE3327"/>
    <w:rsid w:val="00FE357C"/>
    <w:rsid w:val="00FE3FB8"/>
    <w:rsid w:val="00FE41B8"/>
    <w:rsid w:val="00FE4729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7695"/>
    <w:rsid w:val="04E7C0A7"/>
    <w:rsid w:val="084B88CC"/>
    <w:rsid w:val="23F54F45"/>
    <w:rsid w:val="29729D5D"/>
    <w:rsid w:val="29D7112C"/>
    <w:rsid w:val="2C7AAFAF"/>
    <w:rsid w:val="2DC7C3DC"/>
    <w:rsid w:val="2E0928A7"/>
    <w:rsid w:val="3829F8BF"/>
    <w:rsid w:val="39770D8E"/>
    <w:rsid w:val="3A671977"/>
    <w:rsid w:val="46E75729"/>
    <w:rsid w:val="4D66CEFE"/>
    <w:rsid w:val="57BC9385"/>
    <w:rsid w:val="62C780E2"/>
    <w:rsid w:val="6D1DC6A4"/>
    <w:rsid w:val="74314EB9"/>
    <w:rsid w:val="7BB7C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B46478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774962"/>
    <w:pPr>
      <w:outlineLvl w:val="3"/>
    </w:pPr>
    <w:rPr>
      <w:b w:val="0"/>
      <w:bCs w:val="0"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774962"/>
    <w:rPr>
      <w:rFonts w:ascii="CVS Health Sans" w:eastAsiaTheme="majorEastAsia" w:hAnsi="CVS Health Sans" w:cs="Arial"/>
      <w:sz w:val="28"/>
      <w:szCs w:val="28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265FEB"/>
    <w:pPr>
      <w:keepNext/>
      <w:keepLines/>
      <w:numPr>
        <w:numId w:val="2"/>
      </w:numPr>
      <w:spacing w:after="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265FEB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B46478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B46478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B46478"/>
    <w:rPr>
      <w:rFonts w:ascii="CVS Health Sans" w:hAnsi="CVS Health Sans" w:cs="Arial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B46478"/>
    <w:rPr>
      <w:rFonts w:ascii="CVS Health Sans" w:hAnsi="CVS Health Sans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79F9E0-68A2-4258-BDF7-D67A27C37C75}"/>
</file>

<file path=customXml/itemProps3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102fadf2-6cae-45bc-95f6-bc2613b98572"/>
    <ds:schemaRef ds:uri="http://purl.org/dc/elements/1.1/"/>
    <ds:schemaRef ds:uri="http://schemas.openxmlformats.org/package/2006/metadata/core-properties"/>
    <ds:schemaRef ds:uri="ce173f13-e3a2-4c5f-8c54-d0382ae88016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776</Words>
  <Characters>4947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miglustat products SGM 2098-A</vt:lpstr>
    </vt:vector>
  </TitlesOfParts>
  <Company>CVS Caremark</Company>
  <LinksUpToDate>false</LinksUpToDate>
  <CharactersWithSpaces>5712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miglustat products SGM 2098-A</dc:title>
  <dc:subject>miglustat products SGM 2098-A</dc:subject>
  <dc:creator>CVS Caremark</dc:creator>
  <cp:keywords/>
  <cp:lastModifiedBy>Reynoso, Victor H</cp:lastModifiedBy>
  <cp:revision>8</cp:revision>
  <cp:lastPrinted>2024-04-05T04:32:00Z</cp:lastPrinted>
  <dcterms:created xsi:type="dcterms:W3CDTF">2025-04-28T16:27:00Z</dcterms:created>
  <dcterms:modified xsi:type="dcterms:W3CDTF">2025-05-07T17:03:00Z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154700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